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6B3" w:rsidRDefault="00E2623C">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FINANCIJSKOG PLANA HRVATSKE AGENCIJE ZA OSIGURANJE DEPOZITA ZA </w:t>
      </w:r>
      <w:bookmarkStart w:id="0" w:name="_GoBack"/>
      <w:bookmarkEnd w:id="0"/>
      <w:r>
        <w:rPr>
          <w:rFonts w:ascii="Calibri" w:hAnsi="Calibri" w:cs="Calibri"/>
          <w:b/>
          <w:sz w:val="28"/>
        </w:rPr>
        <w:t>2026. GODINU I PROJEKCIJA PLANA ZA 2027. I 2028. GODINU</w:t>
      </w:r>
      <w:r>
        <w:rPr>
          <w:rFonts w:ascii="Calibri" w:hAnsi="Calibri" w:cs="Calibri"/>
          <w:b/>
          <w:sz w:val="28"/>
        </w:rPr>
        <w:br w:type="page"/>
      </w:r>
    </w:p>
    <w:p w:rsidR="001076B3" w:rsidRDefault="00E2623C">
      <w:pPr>
        <w:spacing w:line="240" w:lineRule="auto"/>
      </w:pPr>
      <w:r>
        <w:rPr>
          <w:rFonts w:ascii="Calibri" w:hAnsi="Calibri" w:cs="Calibri"/>
          <w:b/>
          <w:u w:val="single"/>
        </w:rPr>
        <w:lastRenderedPageBreak/>
        <w:t>UVOD</w:t>
      </w:r>
    </w:p>
    <w:p w:rsidR="001076B3" w:rsidRDefault="00E2623C">
      <w:pPr>
        <w:spacing w:line="240" w:lineRule="auto"/>
        <w:jc w:val="both"/>
      </w:pPr>
      <w:r>
        <w:rPr>
          <w:rFonts w:ascii="Calibri" w:hAnsi="Calibri" w:cs="Calibri"/>
        </w:rPr>
        <w:t>Hrvatska agencija za osiguranje depozita (dalje: Agencija) je specijalizirana, financijska, neprofitna organizacija (institucija) čije su osnovne djelatnosti:</w:t>
      </w:r>
    </w:p>
    <w:p w:rsidR="001076B3" w:rsidRDefault="00E2623C">
      <w:pPr>
        <w:spacing w:line="240" w:lineRule="auto"/>
        <w:jc w:val="both"/>
      </w:pPr>
      <w:r>
        <w:rPr>
          <w:rFonts w:ascii="Calibri" w:hAnsi="Calibri" w:cs="Calibri"/>
        </w:rPr>
        <w:t>-           Upravljanje sustavom i fondom osiguranja depozita </w:t>
      </w:r>
    </w:p>
    <w:p w:rsidR="001076B3" w:rsidRDefault="00E2623C">
      <w:pPr>
        <w:spacing w:line="240" w:lineRule="auto"/>
        <w:jc w:val="both"/>
      </w:pPr>
      <w:r>
        <w:rPr>
          <w:rFonts w:ascii="Calibri" w:hAnsi="Calibri" w:cs="Calibri"/>
        </w:rPr>
        <w:t>-           Upravljanje sanacijskim fondom</w:t>
      </w:r>
    </w:p>
    <w:p w:rsidR="001076B3" w:rsidRDefault="00E2623C">
      <w:pPr>
        <w:spacing w:line="240" w:lineRule="auto"/>
        <w:jc w:val="both"/>
      </w:pPr>
      <w:r>
        <w:rPr>
          <w:rFonts w:ascii="Calibri" w:hAnsi="Calibri" w:cs="Calibri"/>
        </w:rPr>
        <w:t>-           Sudjelovanje u postupcima prisilne likvidacije kreditnih institucija.</w:t>
      </w:r>
    </w:p>
    <w:p w:rsidR="001076B3" w:rsidRDefault="00E2623C">
      <w:pPr>
        <w:spacing w:line="240" w:lineRule="auto"/>
        <w:jc w:val="both"/>
      </w:pPr>
      <w:r>
        <w:rPr>
          <w:rFonts w:ascii="Calibri" w:hAnsi="Calibri" w:cs="Calibri"/>
        </w:rPr>
        <w:t>U sklopu izvršenja svojih osnovnih djelatnosti Agencija od kreditnih institucija koje posluju u Republici Hrvatskoj, prikuplja premije osiguranja depozita i sanacijske doprinose, a koje čine imovinu fondova i to Fonda za osiguranje depozita i Sanacijskog fonda. Sredstva Fonda osiguranja depozita drže se na posebnom računu kod Hrvatske narodne banke i iz istih se financiraju navedene osnovne djelatnosti Agencije. Fond osiguranja depozita sastoji se od Osnovnog fonda osiguranja depozita i Dodatnog fonda osiguranja depozita. Svrha Osnovnog fonda osiguranja depozita, koji u svakom trenutku raspolaže s iznosom sredstava od 1% osiguranih depozita (ciljana razina), je isključivo isplata osiguranih depozita. Ciljana razina Dodatnog fonda osiguranja depozita iznosi 1,5 % i isti se koristi za nadopunjavanje Osnovnog fonda osiguranja depozita ako raspoloživa sredstva Osnovnog fonda osiguranja depozita padnu ispod 1% osiguranih depozita, te za potporu u prikupljanju ex-post premija, korištenje njegovih sredstava u svrhu poduzimanja mjera za smanjenje rizika nastupa osiguranog slučaja, podršku financiranju sanacije kreditnih institucija i podršku financiranju prisilne likvidacije kreditnih institucija. Sred</w:t>
      </w:r>
      <w:r w:rsidR="0004783F">
        <w:rPr>
          <w:rFonts w:ascii="Calibri" w:hAnsi="Calibri" w:cs="Calibri"/>
        </w:rPr>
        <w:t xml:space="preserve">stva sanacijskog fonda od 1. listopada </w:t>
      </w:r>
      <w:r>
        <w:rPr>
          <w:rFonts w:ascii="Calibri" w:hAnsi="Calibri" w:cs="Calibri"/>
        </w:rPr>
        <w:t>2020. godine i ulaska Republike Hrvatske u blisku suradnju sa Europskom centralnom bankom, odnosno pristupanju Jedinstvenom sanacijskom mehanizmu Europske Unije prenose se u Jedinstveni sanacijski fond sukladno Sporazumu o prijenosu i objedinjavanju doprinosa u Jedinstveni sanacijski fond.</w:t>
      </w:r>
    </w:p>
    <w:p w:rsidR="001076B3" w:rsidRDefault="00E2623C">
      <w:pPr>
        <w:spacing w:line="240" w:lineRule="auto"/>
        <w:jc w:val="both"/>
      </w:pPr>
      <w:r>
        <w:rPr>
          <w:rFonts w:ascii="Calibri" w:hAnsi="Calibri" w:cs="Calibri"/>
        </w:rPr>
        <w:t>Sukladno Zakonu o sustavu osiguranja depozita (</w:t>
      </w:r>
      <w:r w:rsidR="0004783F">
        <w:rPr>
          <w:rFonts w:ascii="Calibri" w:hAnsi="Calibri" w:cs="Calibri"/>
          <w:color w:val="000000"/>
        </w:rPr>
        <w:t xml:space="preserve">„Narodne novine”, broj </w:t>
      </w:r>
      <w:r w:rsidR="0004783F">
        <w:rPr>
          <w:rFonts w:ascii="Calibri" w:hAnsi="Calibri" w:cs="Calibri"/>
        </w:rPr>
        <w:t>146/</w:t>
      </w:r>
      <w:r>
        <w:rPr>
          <w:rFonts w:ascii="Calibri" w:hAnsi="Calibri" w:cs="Calibri"/>
        </w:rPr>
        <w:t>20, 119/22</w:t>
      </w:r>
      <w:r w:rsidR="0004783F">
        <w:rPr>
          <w:rFonts w:ascii="Calibri" w:hAnsi="Calibri" w:cs="Calibri"/>
        </w:rPr>
        <w:t xml:space="preserve">) koji je stupio na snagu 1. siječnja </w:t>
      </w:r>
      <w:r>
        <w:rPr>
          <w:rFonts w:ascii="Calibri" w:hAnsi="Calibri" w:cs="Calibri"/>
        </w:rPr>
        <w:t>2021.godine i koji uređuje djelatnost Agencije, sve aktivnosti Agencije financiraju se isključivo na teret kreditnih institucija, čime su od troškova propasti kreditnih institucija zaštićeni porezni obveznici i državni proračun.</w:t>
      </w:r>
    </w:p>
    <w:p w:rsidR="001076B3" w:rsidRDefault="00E2623C">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PRIHODI POSLOVANJA</w:t>
            </w:r>
          </w:p>
        </w:tc>
        <w:tc>
          <w:tcPr>
            <w:tcW w:w="690" w:type="pct"/>
            <w:vAlign w:val="bottom"/>
          </w:tcPr>
          <w:p w:rsidR="001076B3" w:rsidRDefault="00E2623C">
            <w:pPr>
              <w:spacing w:after="0" w:line="240" w:lineRule="auto"/>
              <w:jc w:val="right"/>
            </w:pPr>
            <w:r>
              <w:rPr>
                <w:rFonts w:ascii="Calibri" w:hAnsi="Calibri" w:cs="Calibri"/>
                <w:sz w:val="18"/>
              </w:rPr>
              <w:t>38.318.053</w:t>
            </w:r>
          </w:p>
        </w:tc>
        <w:tc>
          <w:tcPr>
            <w:tcW w:w="690" w:type="pct"/>
            <w:vAlign w:val="bottom"/>
          </w:tcPr>
          <w:p w:rsidR="001076B3" w:rsidRDefault="00E2623C">
            <w:pPr>
              <w:spacing w:after="0" w:line="240" w:lineRule="auto"/>
              <w:jc w:val="right"/>
            </w:pPr>
            <w:r>
              <w:rPr>
                <w:rFonts w:ascii="Calibri" w:hAnsi="Calibri" w:cs="Calibri"/>
                <w:sz w:val="18"/>
              </w:rPr>
              <w:t>28.229.880</w:t>
            </w:r>
          </w:p>
        </w:tc>
        <w:tc>
          <w:tcPr>
            <w:tcW w:w="690" w:type="pct"/>
            <w:vAlign w:val="bottom"/>
          </w:tcPr>
          <w:p w:rsidR="001076B3" w:rsidRDefault="00E2623C">
            <w:pPr>
              <w:spacing w:after="0" w:line="240" w:lineRule="auto"/>
              <w:jc w:val="right"/>
            </w:pPr>
            <w:r>
              <w:rPr>
                <w:rFonts w:ascii="Calibri" w:hAnsi="Calibri" w:cs="Calibri"/>
                <w:sz w:val="18"/>
              </w:rPr>
              <w:t>17.574.350</w:t>
            </w:r>
          </w:p>
        </w:tc>
        <w:tc>
          <w:tcPr>
            <w:tcW w:w="690" w:type="pct"/>
            <w:vAlign w:val="bottom"/>
          </w:tcPr>
          <w:p w:rsidR="001076B3" w:rsidRDefault="00E2623C">
            <w:pPr>
              <w:spacing w:after="0" w:line="240" w:lineRule="auto"/>
              <w:jc w:val="right"/>
            </w:pPr>
            <w:r>
              <w:rPr>
                <w:rFonts w:ascii="Calibri" w:hAnsi="Calibri" w:cs="Calibri"/>
                <w:sz w:val="18"/>
              </w:rPr>
              <w:t>14.773.056</w:t>
            </w:r>
          </w:p>
        </w:tc>
        <w:tc>
          <w:tcPr>
            <w:tcW w:w="690" w:type="pct"/>
            <w:vAlign w:val="bottom"/>
          </w:tcPr>
          <w:p w:rsidR="001076B3" w:rsidRDefault="00E2623C">
            <w:pPr>
              <w:spacing w:after="0" w:line="240" w:lineRule="auto"/>
              <w:jc w:val="right"/>
            </w:pPr>
            <w:r>
              <w:rPr>
                <w:rFonts w:ascii="Calibri" w:hAnsi="Calibri" w:cs="Calibri"/>
                <w:sz w:val="18"/>
              </w:rPr>
              <w:t>14.122.678</w:t>
            </w:r>
          </w:p>
        </w:tc>
        <w:tc>
          <w:tcPr>
            <w:tcW w:w="400" w:type="pct"/>
            <w:vAlign w:val="bottom"/>
          </w:tcPr>
          <w:p w:rsidR="001076B3" w:rsidRDefault="00E2623C">
            <w:pPr>
              <w:spacing w:after="0" w:line="240" w:lineRule="auto"/>
              <w:jc w:val="right"/>
            </w:pPr>
            <w:r>
              <w:rPr>
                <w:rFonts w:ascii="Calibri" w:hAnsi="Calibri" w:cs="Calibri"/>
                <w:sz w:val="18"/>
              </w:rPr>
              <w:t>62,3</w:t>
            </w:r>
          </w:p>
        </w:tc>
      </w:tr>
      <w:tr w:rsidR="001076B3">
        <w:tc>
          <w:tcPr>
            <w:tcW w:w="980" w:type="pct"/>
            <w:vAlign w:val="center"/>
          </w:tcPr>
          <w:p w:rsidR="001076B3" w:rsidRDefault="00E2623C">
            <w:pPr>
              <w:spacing w:after="0" w:line="240" w:lineRule="auto"/>
            </w:pPr>
            <w:r>
              <w:rPr>
                <w:rFonts w:ascii="Calibri" w:hAnsi="Calibri" w:cs="Calibri"/>
                <w:sz w:val="18"/>
              </w:rPr>
              <w:t>PRIHODI OD PRODAJE NEFINANCIJSKE IMOVINE</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400" w:type="pct"/>
            <w:vAlign w:val="bottom"/>
          </w:tcPr>
          <w:p w:rsidR="001076B3" w:rsidRDefault="001076B3">
            <w:pPr>
              <w:spacing w:after="0" w:line="240" w:lineRule="auto"/>
              <w:jc w:val="right"/>
            </w:pPr>
          </w:p>
        </w:tc>
      </w:tr>
      <w:tr w:rsidR="001076B3">
        <w:tc>
          <w:tcPr>
            <w:tcW w:w="980" w:type="pct"/>
            <w:vAlign w:val="bottom"/>
          </w:tcPr>
          <w:p w:rsidR="001076B3" w:rsidRDefault="00E2623C">
            <w:pPr>
              <w:spacing w:after="0" w:line="240" w:lineRule="auto"/>
            </w:pPr>
            <w:r>
              <w:rPr>
                <w:rFonts w:ascii="Calibri" w:hAnsi="Calibri" w:cs="Calibri"/>
                <w:b/>
                <w:sz w:val="18"/>
              </w:rPr>
              <w:t>UKUPNI PRIHODI</w:t>
            </w:r>
          </w:p>
        </w:tc>
        <w:tc>
          <w:tcPr>
            <w:tcW w:w="690" w:type="pct"/>
            <w:vAlign w:val="bottom"/>
          </w:tcPr>
          <w:p w:rsidR="001076B3" w:rsidRDefault="00E2623C">
            <w:pPr>
              <w:spacing w:after="0" w:line="240" w:lineRule="auto"/>
              <w:jc w:val="right"/>
            </w:pPr>
            <w:r>
              <w:rPr>
                <w:rFonts w:ascii="Calibri" w:hAnsi="Calibri" w:cs="Calibri"/>
                <w:b/>
                <w:sz w:val="18"/>
              </w:rPr>
              <w:t>38.318.053</w:t>
            </w:r>
          </w:p>
        </w:tc>
        <w:tc>
          <w:tcPr>
            <w:tcW w:w="690" w:type="pct"/>
            <w:vAlign w:val="bottom"/>
          </w:tcPr>
          <w:p w:rsidR="001076B3" w:rsidRDefault="00E2623C">
            <w:pPr>
              <w:spacing w:after="0" w:line="240" w:lineRule="auto"/>
              <w:jc w:val="right"/>
            </w:pPr>
            <w:r>
              <w:rPr>
                <w:rFonts w:ascii="Calibri" w:hAnsi="Calibri" w:cs="Calibri"/>
                <w:b/>
                <w:sz w:val="18"/>
              </w:rPr>
              <w:t>28.229.880</w:t>
            </w:r>
          </w:p>
        </w:tc>
        <w:tc>
          <w:tcPr>
            <w:tcW w:w="690" w:type="pct"/>
            <w:vAlign w:val="bottom"/>
          </w:tcPr>
          <w:p w:rsidR="001076B3" w:rsidRDefault="00E2623C">
            <w:pPr>
              <w:spacing w:after="0" w:line="240" w:lineRule="auto"/>
              <w:jc w:val="right"/>
            </w:pPr>
            <w:r>
              <w:rPr>
                <w:rFonts w:ascii="Calibri" w:hAnsi="Calibri" w:cs="Calibri"/>
                <w:b/>
                <w:sz w:val="18"/>
              </w:rPr>
              <w:t>17.574.350</w:t>
            </w:r>
          </w:p>
        </w:tc>
        <w:tc>
          <w:tcPr>
            <w:tcW w:w="690" w:type="pct"/>
            <w:vAlign w:val="bottom"/>
          </w:tcPr>
          <w:p w:rsidR="001076B3" w:rsidRDefault="00E2623C">
            <w:pPr>
              <w:spacing w:after="0" w:line="240" w:lineRule="auto"/>
              <w:jc w:val="right"/>
            </w:pPr>
            <w:r>
              <w:rPr>
                <w:rFonts w:ascii="Calibri" w:hAnsi="Calibri" w:cs="Calibri"/>
                <w:b/>
                <w:sz w:val="18"/>
              </w:rPr>
              <w:t>14.773.056</w:t>
            </w:r>
          </w:p>
        </w:tc>
        <w:tc>
          <w:tcPr>
            <w:tcW w:w="690" w:type="pct"/>
            <w:vAlign w:val="bottom"/>
          </w:tcPr>
          <w:p w:rsidR="001076B3" w:rsidRDefault="00E2623C">
            <w:pPr>
              <w:spacing w:after="0" w:line="240" w:lineRule="auto"/>
              <w:jc w:val="right"/>
            </w:pPr>
            <w:r>
              <w:rPr>
                <w:rFonts w:ascii="Calibri" w:hAnsi="Calibri" w:cs="Calibri"/>
                <w:b/>
                <w:sz w:val="18"/>
              </w:rPr>
              <w:t>14.122.678</w:t>
            </w:r>
          </w:p>
        </w:tc>
        <w:tc>
          <w:tcPr>
            <w:tcW w:w="400" w:type="pct"/>
            <w:vAlign w:val="bottom"/>
          </w:tcPr>
          <w:p w:rsidR="001076B3" w:rsidRDefault="00E2623C">
            <w:pPr>
              <w:spacing w:after="0" w:line="240" w:lineRule="auto"/>
              <w:jc w:val="right"/>
            </w:pPr>
            <w:r>
              <w:rPr>
                <w:rFonts w:ascii="Calibri" w:hAnsi="Calibri" w:cs="Calibri"/>
                <w:b/>
                <w:sz w:val="18"/>
              </w:rPr>
              <w:t>62,3</w:t>
            </w:r>
          </w:p>
        </w:tc>
      </w:tr>
    </w:tbl>
    <w:p w:rsidR="001076B3" w:rsidRDefault="001076B3">
      <w:pPr>
        <w:spacing w:after="0" w:line="240" w:lineRule="auto"/>
      </w:pPr>
    </w:p>
    <w:p w:rsidR="001076B3" w:rsidRDefault="00E2623C">
      <w:pPr>
        <w:spacing w:line="240" w:lineRule="auto"/>
        <w:jc w:val="both"/>
      </w:pPr>
      <w:r>
        <w:rPr>
          <w:rFonts w:ascii="Calibri" w:hAnsi="Calibri" w:cs="Calibri"/>
        </w:rPr>
        <w:t>U kategoriji prihoda poslovanja Agencije iskazani su:</w:t>
      </w:r>
    </w:p>
    <w:p w:rsidR="001076B3" w:rsidRDefault="00E2623C">
      <w:pPr>
        <w:spacing w:line="240" w:lineRule="auto"/>
        <w:ind w:left="720" w:hanging="360"/>
        <w:jc w:val="both"/>
      </w:pPr>
      <w:r>
        <w:rPr>
          <w:rFonts w:ascii="Calibri" w:hAnsi="Calibri" w:cs="Calibri"/>
        </w:rPr>
        <w:t>•    Prihodi od imovine </w:t>
      </w:r>
    </w:p>
    <w:p w:rsidR="001076B3" w:rsidRDefault="00E2623C">
      <w:pPr>
        <w:spacing w:line="240" w:lineRule="auto"/>
        <w:ind w:left="720" w:hanging="360"/>
        <w:jc w:val="both"/>
      </w:pPr>
      <w:r>
        <w:rPr>
          <w:rFonts w:ascii="Calibri" w:hAnsi="Calibri" w:cs="Calibri"/>
        </w:rPr>
        <w:t>•    Prihodi od upravnih i administrativnih pristojbi, pristojbi po posebnim propisima i naknada</w:t>
      </w:r>
    </w:p>
    <w:p w:rsidR="001076B3" w:rsidRDefault="00E2623C">
      <w:pPr>
        <w:spacing w:line="240" w:lineRule="auto"/>
        <w:ind w:left="720" w:hanging="360"/>
        <w:jc w:val="both"/>
      </w:pPr>
      <w:r>
        <w:rPr>
          <w:rFonts w:ascii="Calibri" w:hAnsi="Calibri" w:cs="Calibri"/>
        </w:rPr>
        <w:t>•    Prihodi od prodaje proizvoda i robe te pruženih usluga</w:t>
      </w:r>
    </w:p>
    <w:p w:rsidR="001076B3" w:rsidRDefault="00E2623C">
      <w:pPr>
        <w:spacing w:line="240" w:lineRule="auto"/>
        <w:jc w:val="both"/>
      </w:pPr>
      <w:r>
        <w:rPr>
          <w:rFonts w:ascii="Calibri" w:hAnsi="Calibri" w:cs="Calibri"/>
        </w:rPr>
        <w:t>Prihodi poslovanja za 2026. godinu planirani su u iznosu od 17.574.350 EUR, za 2027. godinu planirani su u iznosu od 14.773.056 EUR, dok su za 2028. godinu planirani u iznosu od 14.122.678 EUR.</w:t>
      </w:r>
    </w:p>
    <w:p w:rsidR="001076B3" w:rsidRDefault="00E2623C">
      <w:pPr>
        <w:spacing w:line="240" w:lineRule="auto"/>
        <w:jc w:val="both"/>
      </w:pPr>
      <w:r>
        <w:rPr>
          <w:rFonts w:ascii="Calibri" w:hAnsi="Calibri" w:cs="Calibri"/>
        </w:rPr>
        <w:lastRenderedPageBreak/>
        <w:t>Prihode poslovanja čine prihodi od imovine i prihodi od upravnih i administrativnih pristojbi, pristojbi po posebnim propisima i naknada.</w:t>
      </w:r>
    </w:p>
    <w:p w:rsidR="001076B3" w:rsidRDefault="00E2623C">
      <w:pPr>
        <w:spacing w:line="240" w:lineRule="auto"/>
        <w:jc w:val="both"/>
      </w:pPr>
      <w:r>
        <w:rPr>
          <w:rFonts w:ascii="Calibri" w:hAnsi="Calibri" w:cs="Calibri"/>
        </w:rPr>
        <w:t>Prihode od imovine čine prihodi od financijske imovne, a koji se sastoje od  prihoda od kamata po vrijednosnim papirima i prihoda od kamata na oročena sredstva i depozite po viđenju. Prihodi od imovine za 2026. godinu planirani su u iznosu od 15.180.347 EUR, za 2027. godinu planirani su u iznosu od 14.773.056 EUR, dok su za 2028. godinu planirani u iznosu od 14.122.678 EUR. Projekcija prihoda na ovoj poziciji temelji se na očekivanju kretanja kamatnih stopa na tržištu kapitala.</w:t>
      </w:r>
    </w:p>
    <w:p w:rsidR="001076B3" w:rsidRDefault="00E2623C">
      <w:pPr>
        <w:spacing w:line="240" w:lineRule="auto"/>
        <w:jc w:val="both"/>
      </w:pPr>
      <w:r>
        <w:rPr>
          <w:rFonts w:ascii="Calibri" w:hAnsi="Calibri" w:cs="Calibri"/>
        </w:rPr>
        <w:t>Prihodi od upravnih i administrativnih pristojbi, pristojbi po posebnim propisima odnose se na prihode od naplate iz stečajnih, likvidacijskih i sudskih postupaka. Na ovoj poziciji Agencija za 2026. godinu planira realizaciju u iznosu od 2.394.003 EUR, dok se za razdoblje 2027. i 2028.  godinu ne očekuje daljnja naplata. Prihodi na ovoj poziciji planirani su u skladu s  očekivanjima,  a vezano uz potraživanja  iz stečajne mase banaka i štedionica, likvidacijskih i sudskih postupaka za koja prema raspoloživim informacijama očekujemo da će biti naplaćena kroz  naredna razdoblja. Za potrebe planiranja prihoda projekcije povrata iz stečajnih postupaka Agencija bazira na odnosu između prijavljenih nenaplaćenih potraživanja u stečajni postupak i preostalom iznosu raspoložive stečajne mase te projekcijama mogućeg unovčenja stečajne mase kroz vrijeme. </w:t>
      </w:r>
    </w:p>
    <w:p w:rsidR="001076B3" w:rsidRDefault="00E2623C">
      <w:pPr>
        <w:spacing w:line="240" w:lineRule="auto"/>
        <w:jc w:val="both"/>
      </w:pPr>
      <w:r>
        <w:rPr>
          <w:rFonts w:ascii="Calibri" w:hAnsi="Calibri" w:cs="Calibri"/>
        </w:rPr>
        <w:t xml:space="preserve">U narednim </w:t>
      </w:r>
      <w:r w:rsidRPr="00821A3D">
        <w:rPr>
          <w:rFonts w:ascii="Calibri" w:hAnsi="Calibri" w:cs="Calibri"/>
          <w:sz w:val="20"/>
        </w:rPr>
        <w:t>razdobljima</w:t>
      </w:r>
      <w:r>
        <w:rPr>
          <w:rFonts w:ascii="Calibri" w:hAnsi="Calibri" w:cs="Calibri"/>
        </w:rPr>
        <w:t xml:space="preserve"> Agencija ne planira prihode od prodaje proizvoda i robe te pruženih usluga.</w:t>
      </w:r>
    </w:p>
    <w:p w:rsidR="001076B3" w:rsidRDefault="00E2623C">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RASHODI POSLOVANJA</w:t>
            </w:r>
          </w:p>
        </w:tc>
        <w:tc>
          <w:tcPr>
            <w:tcW w:w="690" w:type="pct"/>
            <w:vAlign w:val="bottom"/>
          </w:tcPr>
          <w:p w:rsidR="001076B3" w:rsidRDefault="00E2623C">
            <w:pPr>
              <w:spacing w:after="0" w:line="240" w:lineRule="auto"/>
              <w:jc w:val="right"/>
            </w:pPr>
            <w:r>
              <w:rPr>
                <w:rFonts w:ascii="Calibri" w:hAnsi="Calibri" w:cs="Calibri"/>
                <w:sz w:val="18"/>
              </w:rPr>
              <w:t>1.184.251</w:t>
            </w:r>
          </w:p>
        </w:tc>
        <w:tc>
          <w:tcPr>
            <w:tcW w:w="690" w:type="pct"/>
            <w:vAlign w:val="bottom"/>
          </w:tcPr>
          <w:p w:rsidR="001076B3" w:rsidRDefault="00E2623C">
            <w:pPr>
              <w:spacing w:after="0" w:line="240" w:lineRule="auto"/>
              <w:jc w:val="right"/>
            </w:pPr>
            <w:r>
              <w:rPr>
                <w:rFonts w:ascii="Calibri" w:hAnsi="Calibri" w:cs="Calibri"/>
                <w:sz w:val="18"/>
              </w:rPr>
              <w:t>1.952.420</w:t>
            </w:r>
          </w:p>
        </w:tc>
        <w:tc>
          <w:tcPr>
            <w:tcW w:w="690" w:type="pct"/>
            <w:vAlign w:val="bottom"/>
          </w:tcPr>
          <w:p w:rsidR="001076B3" w:rsidRDefault="00E2623C">
            <w:pPr>
              <w:spacing w:after="0" w:line="240" w:lineRule="auto"/>
              <w:jc w:val="right"/>
            </w:pPr>
            <w:r>
              <w:rPr>
                <w:rFonts w:ascii="Calibri" w:hAnsi="Calibri" w:cs="Calibri"/>
                <w:sz w:val="18"/>
              </w:rPr>
              <w:t>1.395.575</w:t>
            </w:r>
          </w:p>
        </w:tc>
        <w:tc>
          <w:tcPr>
            <w:tcW w:w="690" w:type="pct"/>
            <w:vAlign w:val="bottom"/>
          </w:tcPr>
          <w:p w:rsidR="001076B3" w:rsidRDefault="00E2623C">
            <w:pPr>
              <w:spacing w:after="0" w:line="240" w:lineRule="auto"/>
              <w:jc w:val="right"/>
            </w:pPr>
            <w:r>
              <w:rPr>
                <w:rFonts w:ascii="Calibri" w:hAnsi="Calibri" w:cs="Calibri"/>
                <w:sz w:val="18"/>
              </w:rPr>
              <w:t>1.422.651</w:t>
            </w:r>
          </w:p>
        </w:tc>
        <w:tc>
          <w:tcPr>
            <w:tcW w:w="690" w:type="pct"/>
            <w:vAlign w:val="bottom"/>
          </w:tcPr>
          <w:p w:rsidR="001076B3" w:rsidRDefault="00E2623C">
            <w:pPr>
              <w:spacing w:after="0" w:line="240" w:lineRule="auto"/>
              <w:jc w:val="right"/>
            </w:pPr>
            <w:r>
              <w:rPr>
                <w:rFonts w:ascii="Calibri" w:hAnsi="Calibri" w:cs="Calibri"/>
                <w:sz w:val="18"/>
              </w:rPr>
              <w:t>1.446.425</w:t>
            </w:r>
          </w:p>
        </w:tc>
        <w:tc>
          <w:tcPr>
            <w:tcW w:w="400" w:type="pct"/>
            <w:vAlign w:val="bottom"/>
          </w:tcPr>
          <w:p w:rsidR="001076B3" w:rsidRDefault="00E2623C">
            <w:pPr>
              <w:spacing w:after="0" w:line="240" w:lineRule="auto"/>
              <w:jc w:val="right"/>
            </w:pPr>
            <w:r>
              <w:rPr>
                <w:rFonts w:ascii="Calibri" w:hAnsi="Calibri" w:cs="Calibri"/>
                <w:sz w:val="18"/>
              </w:rPr>
              <w:t>71,5</w:t>
            </w:r>
          </w:p>
        </w:tc>
      </w:tr>
      <w:tr w:rsidR="001076B3">
        <w:tc>
          <w:tcPr>
            <w:tcW w:w="980" w:type="pct"/>
            <w:vAlign w:val="center"/>
          </w:tcPr>
          <w:p w:rsidR="001076B3" w:rsidRDefault="00E2623C">
            <w:pPr>
              <w:spacing w:after="0" w:line="240" w:lineRule="auto"/>
            </w:pPr>
            <w:r>
              <w:rPr>
                <w:rFonts w:ascii="Calibri" w:hAnsi="Calibri" w:cs="Calibri"/>
                <w:sz w:val="18"/>
              </w:rPr>
              <w:t>RASHODI ZA NABAVU NEFINANCIJSKE IMOVINE</w:t>
            </w:r>
          </w:p>
        </w:tc>
        <w:tc>
          <w:tcPr>
            <w:tcW w:w="690" w:type="pct"/>
            <w:vAlign w:val="bottom"/>
          </w:tcPr>
          <w:p w:rsidR="001076B3" w:rsidRDefault="00E2623C">
            <w:pPr>
              <w:spacing w:after="0" w:line="240" w:lineRule="auto"/>
              <w:jc w:val="right"/>
            </w:pPr>
            <w:r>
              <w:rPr>
                <w:rFonts w:ascii="Calibri" w:hAnsi="Calibri" w:cs="Calibri"/>
                <w:sz w:val="18"/>
              </w:rPr>
              <w:t>78.557</w:t>
            </w:r>
          </w:p>
        </w:tc>
        <w:tc>
          <w:tcPr>
            <w:tcW w:w="690" w:type="pct"/>
            <w:vAlign w:val="bottom"/>
          </w:tcPr>
          <w:p w:rsidR="001076B3" w:rsidRDefault="00E2623C">
            <w:pPr>
              <w:spacing w:after="0" w:line="240" w:lineRule="auto"/>
              <w:jc w:val="right"/>
            </w:pPr>
            <w:r>
              <w:rPr>
                <w:rFonts w:ascii="Calibri" w:hAnsi="Calibri" w:cs="Calibri"/>
                <w:sz w:val="18"/>
              </w:rPr>
              <w:t>29.912</w:t>
            </w:r>
          </w:p>
        </w:tc>
        <w:tc>
          <w:tcPr>
            <w:tcW w:w="690" w:type="pct"/>
            <w:vAlign w:val="bottom"/>
          </w:tcPr>
          <w:p w:rsidR="001076B3" w:rsidRDefault="00E2623C">
            <w:pPr>
              <w:spacing w:after="0" w:line="240" w:lineRule="auto"/>
              <w:jc w:val="right"/>
            </w:pPr>
            <w:r>
              <w:rPr>
                <w:rFonts w:ascii="Calibri" w:hAnsi="Calibri" w:cs="Calibri"/>
                <w:sz w:val="18"/>
              </w:rPr>
              <w:t>17.400</w:t>
            </w:r>
          </w:p>
        </w:tc>
        <w:tc>
          <w:tcPr>
            <w:tcW w:w="690" w:type="pct"/>
            <w:vAlign w:val="bottom"/>
          </w:tcPr>
          <w:p w:rsidR="001076B3" w:rsidRDefault="00E2623C">
            <w:pPr>
              <w:spacing w:after="0" w:line="240" w:lineRule="auto"/>
              <w:jc w:val="right"/>
            </w:pPr>
            <w:r>
              <w:rPr>
                <w:rFonts w:ascii="Calibri" w:hAnsi="Calibri" w:cs="Calibri"/>
                <w:sz w:val="18"/>
              </w:rPr>
              <w:t>20.000</w:t>
            </w:r>
          </w:p>
        </w:tc>
        <w:tc>
          <w:tcPr>
            <w:tcW w:w="690" w:type="pct"/>
            <w:vAlign w:val="bottom"/>
          </w:tcPr>
          <w:p w:rsidR="001076B3" w:rsidRDefault="00E2623C">
            <w:pPr>
              <w:spacing w:after="0" w:line="240" w:lineRule="auto"/>
              <w:jc w:val="right"/>
            </w:pPr>
            <w:r>
              <w:rPr>
                <w:rFonts w:ascii="Calibri" w:hAnsi="Calibri" w:cs="Calibri"/>
                <w:sz w:val="18"/>
              </w:rPr>
              <w:t>20.000</w:t>
            </w:r>
          </w:p>
        </w:tc>
        <w:tc>
          <w:tcPr>
            <w:tcW w:w="400" w:type="pct"/>
            <w:vAlign w:val="bottom"/>
          </w:tcPr>
          <w:p w:rsidR="001076B3" w:rsidRDefault="00E2623C">
            <w:pPr>
              <w:spacing w:after="0" w:line="240" w:lineRule="auto"/>
              <w:jc w:val="right"/>
            </w:pPr>
            <w:r>
              <w:rPr>
                <w:rFonts w:ascii="Calibri" w:hAnsi="Calibri" w:cs="Calibri"/>
                <w:sz w:val="18"/>
              </w:rPr>
              <w:t>58,2</w:t>
            </w:r>
          </w:p>
        </w:tc>
      </w:tr>
      <w:tr w:rsidR="001076B3">
        <w:tc>
          <w:tcPr>
            <w:tcW w:w="980" w:type="pct"/>
            <w:vAlign w:val="bottom"/>
          </w:tcPr>
          <w:p w:rsidR="001076B3" w:rsidRDefault="00E2623C">
            <w:pPr>
              <w:spacing w:after="0" w:line="240" w:lineRule="auto"/>
            </w:pPr>
            <w:r>
              <w:rPr>
                <w:rFonts w:ascii="Calibri" w:hAnsi="Calibri" w:cs="Calibri"/>
                <w:b/>
                <w:sz w:val="18"/>
              </w:rPr>
              <w:t>UKUPNI RASHODI</w:t>
            </w:r>
          </w:p>
        </w:tc>
        <w:tc>
          <w:tcPr>
            <w:tcW w:w="690" w:type="pct"/>
            <w:vAlign w:val="bottom"/>
          </w:tcPr>
          <w:p w:rsidR="001076B3" w:rsidRDefault="00E2623C">
            <w:pPr>
              <w:spacing w:after="0" w:line="240" w:lineRule="auto"/>
              <w:jc w:val="right"/>
            </w:pPr>
            <w:r>
              <w:rPr>
                <w:rFonts w:ascii="Calibri" w:hAnsi="Calibri" w:cs="Calibri"/>
                <w:b/>
                <w:sz w:val="18"/>
              </w:rPr>
              <w:t>1.262.808</w:t>
            </w:r>
          </w:p>
        </w:tc>
        <w:tc>
          <w:tcPr>
            <w:tcW w:w="690" w:type="pct"/>
            <w:vAlign w:val="bottom"/>
          </w:tcPr>
          <w:p w:rsidR="001076B3" w:rsidRDefault="00E2623C">
            <w:pPr>
              <w:spacing w:after="0" w:line="240" w:lineRule="auto"/>
              <w:jc w:val="right"/>
            </w:pPr>
            <w:r>
              <w:rPr>
                <w:rFonts w:ascii="Calibri" w:hAnsi="Calibri" w:cs="Calibri"/>
                <w:b/>
                <w:sz w:val="18"/>
              </w:rPr>
              <w:t>1.982.332</w:t>
            </w:r>
          </w:p>
        </w:tc>
        <w:tc>
          <w:tcPr>
            <w:tcW w:w="690" w:type="pct"/>
            <w:vAlign w:val="bottom"/>
          </w:tcPr>
          <w:p w:rsidR="001076B3" w:rsidRDefault="00E2623C">
            <w:pPr>
              <w:spacing w:after="0" w:line="240" w:lineRule="auto"/>
              <w:jc w:val="right"/>
            </w:pPr>
            <w:r>
              <w:rPr>
                <w:rFonts w:ascii="Calibri" w:hAnsi="Calibri" w:cs="Calibri"/>
                <w:b/>
                <w:sz w:val="18"/>
              </w:rPr>
              <w:t>1.412.975</w:t>
            </w:r>
          </w:p>
        </w:tc>
        <w:tc>
          <w:tcPr>
            <w:tcW w:w="690" w:type="pct"/>
            <w:vAlign w:val="bottom"/>
          </w:tcPr>
          <w:p w:rsidR="001076B3" w:rsidRDefault="00E2623C">
            <w:pPr>
              <w:spacing w:after="0" w:line="240" w:lineRule="auto"/>
              <w:jc w:val="right"/>
            </w:pPr>
            <w:r>
              <w:rPr>
                <w:rFonts w:ascii="Calibri" w:hAnsi="Calibri" w:cs="Calibri"/>
                <w:b/>
                <w:sz w:val="18"/>
              </w:rPr>
              <w:t>1.442.651</w:t>
            </w:r>
          </w:p>
        </w:tc>
        <w:tc>
          <w:tcPr>
            <w:tcW w:w="690" w:type="pct"/>
            <w:vAlign w:val="bottom"/>
          </w:tcPr>
          <w:p w:rsidR="001076B3" w:rsidRDefault="00E2623C">
            <w:pPr>
              <w:spacing w:after="0" w:line="240" w:lineRule="auto"/>
              <w:jc w:val="right"/>
            </w:pPr>
            <w:r>
              <w:rPr>
                <w:rFonts w:ascii="Calibri" w:hAnsi="Calibri" w:cs="Calibri"/>
                <w:b/>
                <w:sz w:val="18"/>
              </w:rPr>
              <w:t>1.466.425</w:t>
            </w:r>
          </w:p>
        </w:tc>
        <w:tc>
          <w:tcPr>
            <w:tcW w:w="400" w:type="pct"/>
            <w:vAlign w:val="bottom"/>
          </w:tcPr>
          <w:p w:rsidR="001076B3" w:rsidRDefault="00E2623C">
            <w:pPr>
              <w:spacing w:after="0" w:line="240" w:lineRule="auto"/>
              <w:jc w:val="right"/>
            </w:pPr>
            <w:r>
              <w:rPr>
                <w:rFonts w:ascii="Calibri" w:hAnsi="Calibri" w:cs="Calibri"/>
                <w:b/>
                <w:sz w:val="18"/>
              </w:rPr>
              <w:t>71,3</w:t>
            </w:r>
          </w:p>
        </w:tc>
      </w:tr>
    </w:tbl>
    <w:p w:rsidR="001076B3" w:rsidRDefault="001076B3">
      <w:pPr>
        <w:spacing w:after="0" w:line="240" w:lineRule="auto"/>
      </w:pPr>
    </w:p>
    <w:p w:rsidR="001076B3" w:rsidRDefault="00E2623C">
      <w:pPr>
        <w:spacing w:line="240" w:lineRule="auto"/>
        <w:jc w:val="both"/>
      </w:pPr>
      <w:r>
        <w:rPr>
          <w:rFonts w:ascii="Calibri" w:hAnsi="Calibri" w:cs="Calibri"/>
        </w:rPr>
        <w:t>Rashodi Agencije čine:</w:t>
      </w:r>
    </w:p>
    <w:p w:rsidR="001076B3" w:rsidRDefault="00E2623C">
      <w:pPr>
        <w:spacing w:line="240" w:lineRule="auto"/>
        <w:ind w:left="720" w:hanging="360"/>
        <w:jc w:val="both"/>
      </w:pPr>
      <w:r>
        <w:rPr>
          <w:rFonts w:ascii="Calibri" w:hAnsi="Calibri" w:cs="Calibri"/>
        </w:rPr>
        <w:t xml:space="preserve">•      Rashodi poslovanja </w:t>
      </w:r>
    </w:p>
    <w:p w:rsidR="001076B3" w:rsidRDefault="00E2623C">
      <w:pPr>
        <w:spacing w:line="240" w:lineRule="auto"/>
        <w:ind w:left="720" w:hanging="360"/>
        <w:jc w:val="both"/>
      </w:pPr>
      <w:r>
        <w:rPr>
          <w:rFonts w:ascii="Calibri" w:hAnsi="Calibri" w:cs="Calibri"/>
        </w:rPr>
        <w:t>•      Rashodi za nabavu nefinancijske imovine.</w:t>
      </w:r>
    </w:p>
    <w:p w:rsidR="001076B3" w:rsidRDefault="00E2623C">
      <w:pPr>
        <w:spacing w:line="240" w:lineRule="auto"/>
        <w:jc w:val="both"/>
      </w:pPr>
      <w:r>
        <w:rPr>
          <w:rFonts w:ascii="Calibri" w:hAnsi="Calibri" w:cs="Calibri"/>
        </w:rPr>
        <w:t xml:space="preserve">Rashodi poslovanja za 2026. godinu planirani su u iznosu od 1.395.575 EUR, za 2027. godinu planirani su u iznosu od 1.422.651 EUR, a za 2028. godinu u iznosu od 1.446.425 EUR. Rashode poslovanja čine rashodi za zaposlene, materijalni rashodi i financijski rashodi. S obzirom  da propadanje bilo koje kreditne institucije (bez obzira da li će propadanje prouzročiti prisilnu likvidaciju ili sanaciju) nije moguće ''planirati'', tako u financijskom planu nisu planirani troškovi isplate osiguranih depozita niti potencijalni troškovi likvidacije. </w:t>
      </w:r>
    </w:p>
    <w:p w:rsidR="001076B3" w:rsidRDefault="00E2623C">
      <w:pPr>
        <w:spacing w:line="240" w:lineRule="auto"/>
        <w:jc w:val="both"/>
      </w:pPr>
      <w:r>
        <w:rPr>
          <w:rFonts w:ascii="Calibri" w:hAnsi="Calibri" w:cs="Calibri"/>
        </w:rPr>
        <w:t>Rashodi za nabavu nefinancijske imovine za 2026. godinu planirani su u iznosu od 17.400 EUR, dok su za 2027. i 2028. godinu planirani u iznosu od 20.000 EUR, a odnose se na nabavu dugotrajne materijalne i nematerijalne imovine. </w:t>
      </w:r>
    </w:p>
    <w:p w:rsidR="001076B3" w:rsidRDefault="00E2623C">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UKUPNI PRIHODI</w:t>
            </w:r>
          </w:p>
        </w:tc>
        <w:tc>
          <w:tcPr>
            <w:tcW w:w="690" w:type="pct"/>
            <w:vAlign w:val="bottom"/>
          </w:tcPr>
          <w:p w:rsidR="001076B3" w:rsidRDefault="00E2623C">
            <w:pPr>
              <w:spacing w:after="0" w:line="240" w:lineRule="auto"/>
              <w:jc w:val="right"/>
            </w:pPr>
            <w:r>
              <w:rPr>
                <w:rFonts w:ascii="Calibri" w:hAnsi="Calibri" w:cs="Calibri"/>
                <w:sz w:val="18"/>
              </w:rPr>
              <w:t>38.318.053</w:t>
            </w:r>
          </w:p>
        </w:tc>
        <w:tc>
          <w:tcPr>
            <w:tcW w:w="690" w:type="pct"/>
            <w:vAlign w:val="bottom"/>
          </w:tcPr>
          <w:p w:rsidR="001076B3" w:rsidRDefault="00E2623C">
            <w:pPr>
              <w:spacing w:after="0" w:line="240" w:lineRule="auto"/>
              <w:jc w:val="right"/>
            </w:pPr>
            <w:r>
              <w:rPr>
                <w:rFonts w:ascii="Calibri" w:hAnsi="Calibri" w:cs="Calibri"/>
                <w:sz w:val="18"/>
              </w:rPr>
              <w:t>28.229.880</w:t>
            </w:r>
          </w:p>
        </w:tc>
        <w:tc>
          <w:tcPr>
            <w:tcW w:w="690" w:type="pct"/>
            <w:vAlign w:val="bottom"/>
          </w:tcPr>
          <w:p w:rsidR="001076B3" w:rsidRDefault="00E2623C">
            <w:pPr>
              <w:spacing w:after="0" w:line="240" w:lineRule="auto"/>
              <w:jc w:val="right"/>
            </w:pPr>
            <w:r>
              <w:rPr>
                <w:rFonts w:ascii="Calibri" w:hAnsi="Calibri" w:cs="Calibri"/>
                <w:sz w:val="18"/>
              </w:rPr>
              <w:t>17.574.350</w:t>
            </w:r>
          </w:p>
        </w:tc>
        <w:tc>
          <w:tcPr>
            <w:tcW w:w="690" w:type="pct"/>
            <w:vAlign w:val="bottom"/>
          </w:tcPr>
          <w:p w:rsidR="001076B3" w:rsidRDefault="00E2623C">
            <w:pPr>
              <w:spacing w:after="0" w:line="240" w:lineRule="auto"/>
              <w:jc w:val="right"/>
            </w:pPr>
            <w:r>
              <w:rPr>
                <w:rFonts w:ascii="Calibri" w:hAnsi="Calibri" w:cs="Calibri"/>
                <w:sz w:val="18"/>
              </w:rPr>
              <w:t>14.773.056</w:t>
            </w:r>
          </w:p>
        </w:tc>
        <w:tc>
          <w:tcPr>
            <w:tcW w:w="690" w:type="pct"/>
            <w:vAlign w:val="bottom"/>
          </w:tcPr>
          <w:p w:rsidR="001076B3" w:rsidRDefault="00E2623C">
            <w:pPr>
              <w:spacing w:after="0" w:line="240" w:lineRule="auto"/>
              <w:jc w:val="right"/>
            </w:pPr>
            <w:r>
              <w:rPr>
                <w:rFonts w:ascii="Calibri" w:hAnsi="Calibri" w:cs="Calibri"/>
                <w:sz w:val="18"/>
              </w:rPr>
              <w:t>14.122.678</w:t>
            </w:r>
          </w:p>
        </w:tc>
        <w:tc>
          <w:tcPr>
            <w:tcW w:w="400" w:type="pct"/>
            <w:vAlign w:val="bottom"/>
          </w:tcPr>
          <w:p w:rsidR="001076B3" w:rsidRDefault="00E2623C">
            <w:pPr>
              <w:spacing w:after="0" w:line="240" w:lineRule="auto"/>
              <w:jc w:val="right"/>
            </w:pPr>
            <w:r>
              <w:rPr>
                <w:rFonts w:ascii="Calibri" w:hAnsi="Calibri" w:cs="Calibri"/>
                <w:sz w:val="18"/>
              </w:rPr>
              <w:t>62,3</w:t>
            </w:r>
          </w:p>
        </w:tc>
      </w:tr>
      <w:tr w:rsidR="001076B3">
        <w:tc>
          <w:tcPr>
            <w:tcW w:w="980" w:type="pct"/>
            <w:vAlign w:val="center"/>
          </w:tcPr>
          <w:p w:rsidR="001076B3" w:rsidRDefault="00E2623C">
            <w:pPr>
              <w:spacing w:after="0" w:line="240" w:lineRule="auto"/>
            </w:pPr>
            <w:r>
              <w:rPr>
                <w:rFonts w:ascii="Calibri" w:hAnsi="Calibri" w:cs="Calibri"/>
                <w:sz w:val="18"/>
              </w:rPr>
              <w:t>UKUPNI RASHODI</w:t>
            </w:r>
          </w:p>
        </w:tc>
        <w:tc>
          <w:tcPr>
            <w:tcW w:w="690" w:type="pct"/>
            <w:vAlign w:val="bottom"/>
          </w:tcPr>
          <w:p w:rsidR="001076B3" w:rsidRDefault="00E2623C">
            <w:pPr>
              <w:spacing w:after="0" w:line="240" w:lineRule="auto"/>
              <w:jc w:val="right"/>
            </w:pPr>
            <w:r>
              <w:rPr>
                <w:rFonts w:ascii="Calibri" w:hAnsi="Calibri" w:cs="Calibri"/>
                <w:sz w:val="18"/>
              </w:rPr>
              <w:t>1.262.808</w:t>
            </w:r>
          </w:p>
        </w:tc>
        <w:tc>
          <w:tcPr>
            <w:tcW w:w="690" w:type="pct"/>
            <w:vAlign w:val="bottom"/>
          </w:tcPr>
          <w:p w:rsidR="001076B3" w:rsidRDefault="00E2623C">
            <w:pPr>
              <w:spacing w:after="0" w:line="240" w:lineRule="auto"/>
              <w:jc w:val="right"/>
            </w:pPr>
            <w:r>
              <w:rPr>
                <w:rFonts w:ascii="Calibri" w:hAnsi="Calibri" w:cs="Calibri"/>
                <w:sz w:val="18"/>
              </w:rPr>
              <w:t>1.982.332</w:t>
            </w:r>
          </w:p>
        </w:tc>
        <w:tc>
          <w:tcPr>
            <w:tcW w:w="690" w:type="pct"/>
            <w:vAlign w:val="bottom"/>
          </w:tcPr>
          <w:p w:rsidR="001076B3" w:rsidRDefault="00E2623C">
            <w:pPr>
              <w:spacing w:after="0" w:line="240" w:lineRule="auto"/>
              <w:jc w:val="right"/>
            </w:pPr>
            <w:r>
              <w:rPr>
                <w:rFonts w:ascii="Calibri" w:hAnsi="Calibri" w:cs="Calibri"/>
                <w:sz w:val="18"/>
              </w:rPr>
              <w:t>1.412.975</w:t>
            </w:r>
          </w:p>
        </w:tc>
        <w:tc>
          <w:tcPr>
            <w:tcW w:w="690" w:type="pct"/>
            <w:vAlign w:val="bottom"/>
          </w:tcPr>
          <w:p w:rsidR="001076B3" w:rsidRDefault="00E2623C">
            <w:pPr>
              <w:spacing w:after="0" w:line="240" w:lineRule="auto"/>
              <w:jc w:val="right"/>
            </w:pPr>
            <w:r>
              <w:rPr>
                <w:rFonts w:ascii="Calibri" w:hAnsi="Calibri" w:cs="Calibri"/>
                <w:sz w:val="18"/>
              </w:rPr>
              <w:t>1.442.651</w:t>
            </w:r>
          </w:p>
        </w:tc>
        <w:tc>
          <w:tcPr>
            <w:tcW w:w="690" w:type="pct"/>
            <w:vAlign w:val="bottom"/>
          </w:tcPr>
          <w:p w:rsidR="001076B3" w:rsidRDefault="00E2623C">
            <w:pPr>
              <w:spacing w:after="0" w:line="240" w:lineRule="auto"/>
              <w:jc w:val="right"/>
            </w:pPr>
            <w:r>
              <w:rPr>
                <w:rFonts w:ascii="Calibri" w:hAnsi="Calibri" w:cs="Calibri"/>
                <w:sz w:val="18"/>
              </w:rPr>
              <w:t>1.466.425</w:t>
            </w:r>
          </w:p>
        </w:tc>
        <w:tc>
          <w:tcPr>
            <w:tcW w:w="400" w:type="pct"/>
            <w:vAlign w:val="bottom"/>
          </w:tcPr>
          <w:p w:rsidR="001076B3" w:rsidRDefault="00E2623C">
            <w:pPr>
              <w:spacing w:after="0" w:line="240" w:lineRule="auto"/>
              <w:jc w:val="right"/>
            </w:pPr>
            <w:r>
              <w:rPr>
                <w:rFonts w:ascii="Calibri" w:hAnsi="Calibri" w:cs="Calibri"/>
                <w:sz w:val="18"/>
              </w:rPr>
              <w:t>71,3</w:t>
            </w:r>
          </w:p>
        </w:tc>
      </w:tr>
      <w:tr w:rsidR="001076B3">
        <w:tc>
          <w:tcPr>
            <w:tcW w:w="980" w:type="pct"/>
            <w:vAlign w:val="bottom"/>
          </w:tcPr>
          <w:p w:rsidR="001076B3" w:rsidRDefault="00E2623C">
            <w:pPr>
              <w:spacing w:after="0" w:line="240" w:lineRule="auto"/>
            </w:pPr>
            <w:r>
              <w:rPr>
                <w:rFonts w:ascii="Calibri" w:hAnsi="Calibri" w:cs="Calibri"/>
                <w:b/>
                <w:sz w:val="18"/>
              </w:rPr>
              <w:lastRenderedPageBreak/>
              <w:t>RAZLIKA - VIŠAK/MANJAK</w:t>
            </w:r>
          </w:p>
        </w:tc>
        <w:tc>
          <w:tcPr>
            <w:tcW w:w="690" w:type="pct"/>
            <w:vAlign w:val="bottom"/>
          </w:tcPr>
          <w:p w:rsidR="001076B3" w:rsidRDefault="00E2623C">
            <w:pPr>
              <w:spacing w:after="0" w:line="240" w:lineRule="auto"/>
              <w:jc w:val="right"/>
            </w:pPr>
            <w:r>
              <w:rPr>
                <w:rFonts w:ascii="Calibri" w:hAnsi="Calibri" w:cs="Calibri"/>
                <w:b/>
                <w:sz w:val="18"/>
              </w:rPr>
              <w:t>37.055.245</w:t>
            </w:r>
          </w:p>
        </w:tc>
        <w:tc>
          <w:tcPr>
            <w:tcW w:w="690" w:type="pct"/>
            <w:vAlign w:val="bottom"/>
          </w:tcPr>
          <w:p w:rsidR="001076B3" w:rsidRDefault="00E2623C">
            <w:pPr>
              <w:spacing w:after="0" w:line="240" w:lineRule="auto"/>
              <w:jc w:val="right"/>
            </w:pPr>
            <w:r>
              <w:rPr>
                <w:rFonts w:ascii="Calibri" w:hAnsi="Calibri" w:cs="Calibri"/>
                <w:b/>
                <w:sz w:val="18"/>
              </w:rPr>
              <w:t>26.247.548</w:t>
            </w:r>
          </w:p>
        </w:tc>
        <w:tc>
          <w:tcPr>
            <w:tcW w:w="690" w:type="pct"/>
            <w:vAlign w:val="bottom"/>
          </w:tcPr>
          <w:p w:rsidR="001076B3" w:rsidRDefault="00E2623C">
            <w:pPr>
              <w:spacing w:after="0" w:line="240" w:lineRule="auto"/>
              <w:jc w:val="right"/>
            </w:pPr>
            <w:r>
              <w:rPr>
                <w:rFonts w:ascii="Calibri" w:hAnsi="Calibri" w:cs="Calibri"/>
                <w:b/>
                <w:sz w:val="18"/>
              </w:rPr>
              <w:t>16.161.375</w:t>
            </w:r>
          </w:p>
        </w:tc>
        <w:tc>
          <w:tcPr>
            <w:tcW w:w="690" w:type="pct"/>
            <w:vAlign w:val="bottom"/>
          </w:tcPr>
          <w:p w:rsidR="001076B3" w:rsidRDefault="00E2623C">
            <w:pPr>
              <w:spacing w:after="0" w:line="240" w:lineRule="auto"/>
              <w:jc w:val="right"/>
            </w:pPr>
            <w:r>
              <w:rPr>
                <w:rFonts w:ascii="Calibri" w:hAnsi="Calibri" w:cs="Calibri"/>
                <w:b/>
                <w:sz w:val="18"/>
              </w:rPr>
              <w:t>13.330.405</w:t>
            </w:r>
          </w:p>
        </w:tc>
        <w:tc>
          <w:tcPr>
            <w:tcW w:w="690" w:type="pct"/>
            <w:vAlign w:val="bottom"/>
          </w:tcPr>
          <w:p w:rsidR="001076B3" w:rsidRDefault="00E2623C">
            <w:pPr>
              <w:spacing w:after="0" w:line="240" w:lineRule="auto"/>
              <w:jc w:val="right"/>
            </w:pPr>
            <w:r>
              <w:rPr>
                <w:rFonts w:ascii="Calibri" w:hAnsi="Calibri" w:cs="Calibri"/>
                <w:b/>
                <w:sz w:val="18"/>
              </w:rPr>
              <w:t>12.656.253</w:t>
            </w:r>
          </w:p>
        </w:tc>
        <w:tc>
          <w:tcPr>
            <w:tcW w:w="400" w:type="pct"/>
            <w:vAlign w:val="bottom"/>
          </w:tcPr>
          <w:p w:rsidR="001076B3" w:rsidRDefault="00E2623C">
            <w:pPr>
              <w:spacing w:after="0" w:line="240" w:lineRule="auto"/>
              <w:jc w:val="right"/>
            </w:pPr>
            <w:r>
              <w:rPr>
                <w:rFonts w:ascii="Calibri" w:hAnsi="Calibri" w:cs="Calibri"/>
                <w:b/>
                <w:sz w:val="18"/>
              </w:rPr>
              <w:t>61,6</w:t>
            </w:r>
          </w:p>
        </w:tc>
      </w:tr>
    </w:tbl>
    <w:p w:rsidR="001076B3" w:rsidRDefault="001076B3">
      <w:pPr>
        <w:spacing w:after="0" w:line="240" w:lineRule="auto"/>
      </w:pPr>
    </w:p>
    <w:p w:rsidR="001076B3" w:rsidRDefault="00E2623C">
      <w:pPr>
        <w:spacing w:line="240" w:lineRule="auto"/>
        <w:jc w:val="both"/>
      </w:pPr>
      <w:r>
        <w:rPr>
          <w:rFonts w:ascii="Calibri" w:hAnsi="Calibri" w:cs="Calibri"/>
        </w:rPr>
        <w:t>Agencija planira ostvarenje viška prihoda nad rashodima za razdoblje 2026.</w:t>
      </w:r>
      <w:r w:rsidR="0004783F">
        <w:rPr>
          <w:rFonts w:ascii="Calibri" w:hAnsi="Calibri" w:cs="Calibri"/>
        </w:rPr>
        <w:t xml:space="preserve"> </w:t>
      </w:r>
      <w:r>
        <w:rPr>
          <w:rFonts w:ascii="Calibri" w:hAnsi="Calibri" w:cs="Calibri"/>
        </w:rPr>
        <w:t>-</w:t>
      </w:r>
      <w:r w:rsidR="0004783F">
        <w:rPr>
          <w:rFonts w:ascii="Calibri" w:hAnsi="Calibri" w:cs="Calibri"/>
        </w:rPr>
        <w:t xml:space="preserve"> </w:t>
      </w:r>
      <w:r>
        <w:rPr>
          <w:rFonts w:ascii="Calibri" w:hAnsi="Calibri" w:cs="Calibri"/>
        </w:rPr>
        <w:t>2028. godina, i to u iznosu 16.161.375 EUR za 2026. godinu, 13.330.405 EUR  za 2027. godinu i 12.656.253 EUR za 2028. godinu.</w:t>
      </w:r>
    </w:p>
    <w:p w:rsidR="001076B3" w:rsidRDefault="00E2623C">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PRIMICI OD FINANCIJSKE IMOVINE I ZADUŽIVANJA</w:t>
            </w:r>
          </w:p>
        </w:tc>
        <w:tc>
          <w:tcPr>
            <w:tcW w:w="690" w:type="pct"/>
            <w:vAlign w:val="bottom"/>
          </w:tcPr>
          <w:p w:rsidR="001076B3" w:rsidRDefault="00E2623C">
            <w:pPr>
              <w:spacing w:after="0" w:line="240" w:lineRule="auto"/>
              <w:jc w:val="right"/>
            </w:pPr>
            <w:r>
              <w:rPr>
                <w:rFonts w:ascii="Calibri" w:hAnsi="Calibri" w:cs="Calibri"/>
                <w:sz w:val="18"/>
              </w:rPr>
              <w:t>504.446.864</w:t>
            </w:r>
          </w:p>
        </w:tc>
        <w:tc>
          <w:tcPr>
            <w:tcW w:w="690" w:type="pct"/>
            <w:vAlign w:val="bottom"/>
          </w:tcPr>
          <w:p w:rsidR="001076B3" w:rsidRDefault="00E2623C">
            <w:pPr>
              <w:spacing w:after="0" w:line="240" w:lineRule="auto"/>
              <w:jc w:val="right"/>
            </w:pPr>
            <w:r>
              <w:rPr>
                <w:rFonts w:ascii="Calibri" w:hAnsi="Calibri" w:cs="Calibri"/>
                <w:sz w:val="18"/>
              </w:rPr>
              <w:t>30.332.428</w:t>
            </w:r>
          </w:p>
        </w:tc>
        <w:tc>
          <w:tcPr>
            <w:tcW w:w="690" w:type="pct"/>
            <w:vAlign w:val="bottom"/>
          </w:tcPr>
          <w:p w:rsidR="001076B3" w:rsidRDefault="00E2623C">
            <w:pPr>
              <w:spacing w:after="0" w:line="240" w:lineRule="auto"/>
              <w:jc w:val="right"/>
            </w:pPr>
            <w:r>
              <w:rPr>
                <w:rFonts w:ascii="Calibri" w:hAnsi="Calibri" w:cs="Calibri"/>
                <w:sz w:val="18"/>
              </w:rPr>
              <w:t>331.807</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400" w:type="pct"/>
            <w:vAlign w:val="bottom"/>
          </w:tcPr>
          <w:p w:rsidR="001076B3" w:rsidRDefault="00E2623C">
            <w:pPr>
              <w:spacing w:after="0" w:line="240" w:lineRule="auto"/>
              <w:jc w:val="right"/>
            </w:pPr>
            <w:r>
              <w:rPr>
                <w:rFonts w:ascii="Calibri" w:hAnsi="Calibri" w:cs="Calibri"/>
                <w:sz w:val="18"/>
              </w:rPr>
              <w:t>1,1</w:t>
            </w:r>
          </w:p>
        </w:tc>
      </w:tr>
      <w:tr w:rsidR="001076B3">
        <w:tc>
          <w:tcPr>
            <w:tcW w:w="980" w:type="pct"/>
            <w:vAlign w:val="center"/>
          </w:tcPr>
          <w:p w:rsidR="001076B3" w:rsidRDefault="00E2623C">
            <w:pPr>
              <w:spacing w:after="0" w:line="240" w:lineRule="auto"/>
            </w:pPr>
            <w:r>
              <w:rPr>
                <w:rFonts w:ascii="Calibri" w:hAnsi="Calibri" w:cs="Calibri"/>
                <w:sz w:val="18"/>
              </w:rPr>
              <w:t>IZDACI ZA FINANCIJSKU IMOVINU I OTPLATE ZAJMOVA</w:t>
            </w:r>
          </w:p>
        </w:tc>
        <w:tc>
          <w:tcPr>
            <w:tcW w:w="690" w:type="pct"/>
            <w:vAlign w:val="bottom"/>
          </w:tcPr>
          <w:p w:rsidR="001076B3" w:rsidRDefault="00E2623C">
            <w:pPr>
              <w:spacing w:after="0" w:line="240" w:lineRule="auto"/>
              <w:jc w:val="right"/>
            </w:pPr>
            <w:r>
              <w:rPr>
                <w:rFonts w:ascii="Calibri" w:hAnsi="Calibri" w:cs="Calibri"/>
                <w:sz w:val="18"/>
              </w:rPr>
              <w:t>99.166.000</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690" w:type="pct"/>
            <w:vAlign w:val="bottom"/>
          </w:tcPr>
          <w:p w:rsidR="001076B3" w:rsidRDefault="00E2623C">
            <w:pPr>
              <w:spacing w:after="0" w:line="240" w:lineRule="auto"/>
              <w:jc w:val="right"/>
            </w:pPr>
            <w:r>
              <w:rPr>
                <w:rFonts w:ascii="Calibri" w:hAnsi="Calibri" w:cs="Calibri"/>
                <w:sz w:val="18"/>
              </w:rPr>
              <w:t>0</w:t>
            </w:r>
          </w:p>
        </w:tc>
        <w:tc>
          <w:tcPr>
            <w:tcW w:w="400" w:type="pct"/>
            <w:vAlign w:val="bottom"/>
          </w:tcPr>
          <w:p w:rsidR="001076B3" w:rsidRDefault="001076B3">
            <w:pPr>
              <w:spacing w:after="0" w:line="240" w:lineRule="auto"/>
              <w:jc w:val="right"/>
            </w:pPr>
          </w:p>
        </w:tc>
      </w:tr>
      <w:tr w:rsidR="001076B3">
        <w:tc>
          <w:tcPr>
            <w:tcW w:w="980" w:type="pct"/>
            <w:vAlign w:val="bottom"/>
          </w:tcPr>
          <w:p w:rsidR="001076B3" w:rsidRDefault="00E2623C">
            <w:pPr>
              <w:spacing w:after="0" w:line="240" w:lineRule="auto"/>
            </w:pPr>
            <w:r>
              <w:rPr>
                <w:rFonts w:ascii="Calibri" w:hAnsi="Calibri" w:cs="Calibri"/>
                <w:b/>
                <w:sz w:val="18"/>
              </w:rPr>
              <w:t>RAZLIKA PRIMITAKA I IZDATAKA</w:t>
            </w:r>
          </w:p>
        </w:tc>
        <w:tc>
          <w:tcPr>
            <w:tcW w:w="690" w:type="pct"/>
            <w:vAlign w:val="bottom"/>
          </w:tcPr>
          <w:p w:rsidR="001076B3" w:rsidRDefault="00E2623C">
            <w:pPr>
              <w:spacing w:after="0" w:line="240" w:lineRule="auto"/>
              <w:jc w:val="right"/>
            </w:pPr>
            <w:r>
              <w:rPr>
                <w:rFonts w:ascii="Calibri" w:hAnsi="Calibri" w:cs="Calibri"/>
                <w:b/>
                <w:sz w:val="18"/>
              </w:rPr>
              <w:t>405.280.864</w:t>
            </w:r>
          </w:p>
        </w:tc>
        <w:tc>
          <w:tcPr>
            <w:tcW w:w="690" w:type="pct"/>
            <w:vAlign w:val="bottom"/>
          </w:tcPr>
          <w:p w:rsidR="001076B3" w:rsidRDefault="00E2623C">
            <w:pPr>
              <w:spacing w:after="0" w:line="240" w:lineRule="auto"/>
              <w:jc w:val="right"/>
            </w:pPr>
            <w:r>
              <w:rPr>
                <w:rFonts w:ascii="Calibri" w:hAnsi="Calibri" w:cs="Calibri"/>
                <w:b/>
                <w:sz w:val="18"/>
              </w:rPr>
              <w:t>30.332.428</w:t>
            </w:r>
          </w:p>
        </w:tc>
        <w:tc>
          <w:tcPr>
            <w:tcW w:w="690" w:type="pct"/>
            <w:vAlign w:val="bottom"/>
          </w:tcPr>
          <w:p w:rsidR="001076B3" w:rsidRDefault="00E2623C">
            <w:pPr>
              <w:spacing w:after="0" w:line="240" w:lineRule="auto"/>
              <w:jc w:val="right"/>
            </w:pPr>
            <w:r>
              <w:rPr>
                <w:rFonts w:ascii="Calibri" w:hAnsi="Calibri" w:cs="Calibri"/>
                <w:b/>
                <w:sz w:val="18"/>
              </w:rPr>
              <w:t>331.807</w:t>
            </w:r>
          </w:p>
        </w:tc>
        <w:tc>
          <w:tcPr>
            <w:tcW w:w="690" w:type="pct"/>
            <w:vAlign w:val="bottom"/>
          </w:tcPr>
          <w:p w:rsidR="001076B3" w:rsidRDefault="00E2623C">
            <w:pPr>
              <w:spacing w:after="0" w:line="240" w:lineRule="auto"/>
              <w:jc w:val="right"/>
            </w:pPr>
            <w:r>
              <w:rPr>
                <w:rFonts w:ascii="Calibri" w:hAnsi="Calibri" w:cs="Calibri"/>
                <w:b/>
                <w:sz w:val="18"/>
              </w:rPr>
              <w:t>0</w:t>
            </w:r>
          </w:p>
        </w:tc>
        <w:tc>
          <w:tcPr>
            <w:tcW w:w="690" w:type="pct"/>
            <w:vAlign w:val="bottom"/>
          </w:tcPr>
          <w:p w:rsidR="001076B3" w:rsidRDefault="00E2623C">
            <w:pPr>
              <w:spacing w:after="0" w:line="240" w:lineRule="auto"/>
              <w:jc w:val="right"/>
            </w:pPr>
            <w:r>
              <w:rPr>
                <w:rFonts w:ascii="Calibri" w:hAnsi="Calibri" w:cs="Calibri"/>
                <w:b/>
                <w:sz w:val="18"/>
              </w:rPr>
              <w:t>0</w:t>
            </w:r>
          </w:p>
        </w:tc>
        <w:tc>
          <w:tcPr>
            <w:tcW w:w="400" w:type="pct"/>
            <w:vAlign w:val="bottom"/>
          </w:tcPr>
          <w:p w:rsidR="001076B3" w:rsidRDefault="00E2623C">
            <w:pPr>
              <w:spacing w:after="0" w:line="240" w:lineRule="auto"/>
              <w:jc w:val="right"/>
            </w:pPr>
            <w:r>
              <w:rPr>
                <w:rFonts w:ascii="Calibri" w:hAnsi="Calibri" w:cs="Calibri"/>
                <w:b/>
                <w:sz w:val="18"/>
              </w:rPr>
              <w:t>1,1</w:t>
            </w:r>
          </w:p>
        </w:tc>
      </w:tr>
      <w:tr w:rsidR="001076B3">
        <w:tc>
          <w:tcPr>
            <w:tcW w:w="980" w:type="pct"/>
            <w:vAlign w:val="bottom"/>
          </w:tcPr>
          <w:p w:rsidR="001076B3" w:rsidRDefault="00E2623C">
            <w:pPr>
              <w:spacing w:after="0" w:line="240" w:lineRule="auto"/>
            </w:pPr>
            <w:r>
              <w:rPr>
                <w:rFonts w:ascii="Calibri" w:hAnsi="Calibri" w:cs="Calibri"/>
                <w:sz w:val="18"/>
              </w:rPr>
              <w:t>PRIJENOS SREDSTAVA IZ PRETHODNE GODINE</w:t>
            </w:r>
          </w:p>
        </w:tc>
        <w:tc>
          <w:tcPr>
            <w:tcW w:w="690" w:type="pct"/>
            <w:vAlign w:val="bottom"/>
          </w:tcPr>
          <w:p w:rsidR="001076B3" w:rsidRDefault="00E2623C">
            <w:pPr>
              <w:spacing w:after="0" w:line="240" w:lineRule="auto"/>
              <w:jc w:val="right"/>
            </w:pPr>
            <w:r>
              <w:rPr>
                <w:rFonts w:ascii="Calibri" w:hAnsi="Calibri" w:cs="Calibri"/>
                <w:sz w:val="18"/>
              </w:rPr>
              <w:t>308.325.905</w:t>
            </w:r>
          </w:p>
        </w:tc>
        <w:tc>
          <w:tcPr>
            <w:tcW w:w="690" w:type="pct"/>
            <w:vAlign w:val="bottom"/>
          </w:tcPr>
          <w:p w:rsidR="001076B3" w:rsidRDefault="00E2623C">
            <w:pPr>
              <w:spacing w:after="0" w:line="240" w:lineRule="auto"/>
              <w:jc w:val="right"/>
            </w:pPr>
            <w:r>
              <w:rPr>
                <w:rFonts w:ascii="Calibri" w:hAnsi="Calibri" w:cs="Calibri"/>
                <w:sz w:val="18"/>
              </w:rPr>
              <w:t>752.732.180</w:t>
            </w:r>
          </w:p>
        </w:tc>
        <w:tc>
          <w:tcPr>
            <w:tcW w:w="690" w:type="pct"/>
            <w:vAlign w:val="bottom"/>
          </w:tcPr>
          <w:p w:rsidR="001076B3" w:rsidRDefault="00E2623C">
            <w:pPr>
              <w:spacing w:after="0" w:line="240" w:lineRule="auto"/>
              <w:jc w:val="right"/>
            </w:pPr>
            <w:r>
              <w:rPr>
                <w:rFonts w:ascii="Calibri" w:hAnsi="Calibri" w:cs="Calibri"/>
                <w:sz w:val="18"/>
              </w:rPr>
              <w:t>809.312.156</w:t>
            </w:r>
          </w:p>
        </w:tc>
        <w:tc>
          <w:tcPr>
            <w:tcW w:w="690" w:type="pct"/>
            <w:vAlign w:val="bottom"/>
          </w:tcPr>
          <w:p w:rsidR="001076B3" w:rsidRDefault="00E2623C">
            <w:pPr>
              <w:spacing w:after="0" w:line="240" w:lineRule="auto"/>
              <w:jc w:val="right"/>
            </w:pPr>
            <w:r>
              <w:rPr>
                <w:rFonts w:ascii="Calibri" w:hAnsi="Calibri" w:cs="Calibri"/>
                <w:sz w:val="18"/>
              </w:rPr>
              <w:t>825.805.338</w:t>
            </w:r>
          </w:p>
        </w:tc>
        <w:tc>
          <w:tcPr>
            <w:tcW w:w="690" w:type="pct"/>
            <w:vAlign w:val="bottom"/>
          </w:tcPr>
          <w:p w:rsidR="001076B3" w:rsidRDefault="00E2623C">
            <w:pPr>
              <w:spacing w:after="0" w:line="240" w:lineRule="auto"/>
              <w:jc w:val="right"/>
            </w:pPr>
            <w:r>
              <w:rPr>
                <w:rFonts w:ascii="Calibri" w:hAnsi="Calibri" w:cs="Calibri"/>
                <w:sz w:val="18"/>
              </w:rPr>
              <w:t>839.135.743</w:t>
            </w:r>
          </w:p>
        </w:tc>
        <w:tc>
          <w:tcPr>
            <w:tcW w:w="400" w:type="pct"/>
            <w:vAlign w:val="bottom"/>
          </w:tcPr>
          <w:p w:rsidR="001076B3" w:rsidRDefault="00E2623C">
            <w:pPr>
              <w:spacing w:after="0" w:line="240" w:lineRule="auto"/>
              <w:jc w:val="right"/>
            </w:pPr>
            <w:r>
              <w:rPr>
                <w:rFonts w:ascii="Calibri" w:hAnsi="Calibri" w:cs="Calibri"/>
                <w:sz w:val="18"/>
              </w:rPr>
              <w:t>107,5</w:t>
            </w:r>
          </w:p>
        </w:tc>
      </w:tr>
      <w:tr w:rsidR="001076B3">
        <w:tc>
          <w:tcPr>
            <w:tcW w:w="980" w:type="pct"/>
            <w:vAlign w:val="bottom"/>
          </w:tcPr>
          <w:p w:rsidR="001076B3" w:rsidRDefault="00E2623C">
            <w:pPr>
              <w:spacing w:after="0" w:line="240" w:lineRule="auto"/>
            </w:pPr>
            <w:r>
              <w:rPr>
                <w:rFonts w:ascii="Calibri" w:hAnsi="Calibri" w:cs="Calibri"/>
                <w:sz w:val="18"/>
              </w:rPr>
              <w:t>PRIJENOS SREDSTAVA U SLJEDEĆU GODINU</w:t>
            </w:r>
          </w:p>
        </w:tc>
        <w:tc>
          <w:tcPr>
            <w:tcW w:w="690" w:type="pct"/>
            <w:vAlign w:val="bottom"/>
          </w:tcPr>
          <w:p w:rsidR="001076B3" w:rsidRDefault="00E2623C">
            <w:pPr>
              <w:spacing w:after="0" w:line="240" w:lineRule="auto"/>
              <w:jc w:val="right"/>
            </w:pPr>
            <w:r>
              <w:rPr>
                <w:rFonts w:ascii="Calibri" w:hAnsi="Calibri" w:cs="Calibri"/>
                <w:sz w:val="18"/>
              </w:rPr>
              <w:t>-750.662.014</w:t>
            </w:r>
          </w:p>
        </w:tc>
        <w:tc>
          <w:tcPr>
            <w:tcW w:w="690" w:type="pct"/>
            <w:vAlign w:val="bottom"/>
          </w:tcPr>
          <w:p w:rsidR="001076B3" w:rsidRDefault="00E2623C">
            <w:pPr>
              <w:spacing w:after="0" w:line="240" w:lineRule="auto"/>
              <w:jc w:val="right"/>
            </w:pPr>
            <w:r>
              <w:rPr>
                <w:rFonts w:ascii="Calibri" w:hAnsi="Calibri" w:cs="Calibri"/>
                <w:sz w:val="18"/>
              </w:rPr>
              <w:t>-809.312.156</w:t>
            </w:r>
          </w:p>
        </w:tc>
        <w:tc>
          <w:tcPr>
            <w:tcW w:w="690" w:type="pct"/>
            <w:vAlign w:val="bottom"/>
          </w:tcPr>
          <w:p w:rsidR="001076B3" w:rsidRDefault="00E2623C">
            <w:pPr>
              <w:spacing w:after="0" w:line="240" w:lineRule="auto"/>
              <w:jc w:val="right"/>
            </w:pPr>
            <w:r>
              <w:rPr>
                <w:rFonts w:ascii="Calibri" w:hAnsi="Calibri" w:cs="Calibri"/>
                <w:sz w:val="18"/>
              </w:rPr>
              <w:t>-825.805.338</w:t>
            </w:r>
          </w:p>
        </w:tc>
        <w:tc>
          <w:tcPr>
            <w:tcW w:w="690" w:type="pct"/>
            <w:vAlign w:val="bottom"/>
          </w:tcPr>
          <w:p w:rsidR="001076B3" w:rsidRDefault="00E2623C">
            <w:pPr>
              <w:spacing w:after="0" w:line="240" w:lineRule="auto"/>
              <w:jc w:val="right"/>
            </w:pPr>
            <w:r>
              <w:rPr>
                <w:rFonts w:ascii="Calibri" w:hAnsi="Calibri" w:cs="Calibri"/>
                <w:sz w:val="18"/>
              </w:rPr>
              <w:t>-839.135.743</w:t>
            </w:r>
          </w:p>
        </w:tc>
        <w:tc>
          <w:tcPr>
            <w:tcW w:w="690" w:type="pct"/>
            <w:vAlign w:val="bottom"/>
          </w:tcPr>
          <w:p w:rsidR="001076B3" w:rsidRDefault="00E2623C">
            <w:pPr>
              <w:spacing w:after="0" w:line="240" w:lineRule="auto"/>
              <w:jc w:val="right"/>
            </w:pPr>
            <w:r>
              <w:rPr>
                <w:rFonts w:ascii="Calibri" w:hAnsi="Calibri" w:cs="Calibri"/>
                <w:sz w:val="18"/>
              </w:rPr>
              <w:t>-851.791.996</w:t>
            </w:r>
          </w:p>
        </w:tc>
        <w:tc>
          <w:tcPr>
            <w:tcW w:w="400" w:type="pct"/>
            <w:vAlign w:val="bottom"/>
          </w:tcPr>
          <w:p w:rsidR="001076B3" w:rsidRDefault="00E2623C">
            <w:pPr>
              <w:spacing w:after="0" w:line="240" w:lineRule="auto"/>
              <w:jc w:val="right"/>
            </w:pPr>
            <w:r>
              <w:rPr>
                <w:rFonts w:ascii="Calibri" w:hAnsi="Calibri" w:cs="Calibri"/>
                <w:sz w:val="18"/>
              </w:rPr>
              <w:t>102,0</w:t>
            </w:r>
          </w:p>
        </w:tc>
      </w:tr>
      <w:tr w:rsidR="001076B3">
        <w:tc>
          <w:tcPr>
            <w:tcW w:w="980" w:type="pct"/>
            <w:vAlign w:val="bottom"/>
          </w:tcPr>
          <w:p w:rsidR="001076B3" w:rsidRDefault="00E2623C">
            <w:pPr>
              <w:spacing w:after="0" w:line="240" w:lineRule="auto"/>
            </w:pPr>
            <w:r>
              <w:rPr>
                <w:rFonts w:ascii="Calibri" w:hAnsi="Calibri" w:cs="Calibri"/>
                <w:b/>
                <w:sz w:val="18"/>
              </w:rPr>
              <w:t>NETO FINANCIRANJE</w:t>
            </w:r>
          </w:p>
        </w:tc>
        <w:tc>
          <w:tcPr>
            <w:tcW w:w="690" w:type="pct"/>
            <w:vAlign w:val="bottom"/>
          </w:tcPr>
          <w:p w:rsidR="001076B3" w:rsidRDefault="00E2623C">
            <w:pPr>
              <w:spacing w:after="0" w:line="240" w:lineRule="auto"/>
              <w:jc w:val="right"/>
            </w:pPr>
            <w:r>
              <w:rPr>
                <w:rFonts w:ascii="Calibri" w:hAnsi="Calibri" w:cs="Calibri"/>
                <w:b/>
                <w:sz w:val="18"/>
              </w:rPr>
              <w:t>-37.055.245</w:t>
            </w:r>
          </w:p>
        </w:tc>
        <w:tc>
          <w:tcPr>
            <w:tcW w:w="690" w:type="pct"/>
            <w:vAlign w:val="bottom"/>
          </w:tcPr>
          <w:p w:rsidR="001076B3" w:rsidRDefault="00E2623C">
            <w:pPr>
              <w:spacing w:after="0" w:line="240" w:lineRule="auto"/>
              <w:jc w:val="right"/>
            </w:pPr>
            <w:r>
              <w:rPr>
                <w:rFonts w:ascii="Calibri" w:hAnsi="Calibri" w:cs="Calibri"/>
                <w:b/>
                <w:sz w:val="18"/>
              </w:rPr>
              <w:t>-26.247.548</w:t>
            </w:r>
          </w:p>
        </w:tc>
        <w:tc>
          <w:tcPr>
            <w:tcW w:w="690" w:type="pct"/>
            <w:vAlign w:val="bottom"/>
          </w:tcPr>
          <w:p w:rsidR="001076B3" w:rsidRDefault="00E2623C">
            <w:pPr>
              <w:spacing w:after="0" w:line="240" w:lineRule="auto"/>
              <w:jc w:val="right"/>
            </w:pPr>
            <w:r>
              <w:rPr>
                <w:rFonts w:ascii="Calibri" w:hAnsi="Calibri" w:cs="Calibri"/>
                <w:b/>
                <w:sz w:val="18"/>
              </w:rPr>
              <w:t>-16.161.375</w:t>
            </w:r>
          </w:p>
        </w:tc>
        <w:tc>
          <w:tcPr>
            <w:tcW w:w="690" w:type="pct"/>
            <w:vAlign w:val="bottom"/>
          </w:tcPr>
          <w:p w:rsidR="001076B3" w:rsidRDefault="00E2623C">
            <w:pPr>
              <w:spacing w:after="0" w:line="240" w:lineRule="auto"/>
              <w:jc w:val="right"/>
            </w:pPr>
            <w:r>
              <w:rPr>
                <w:rFonts w:ascii="Calibri" w:hAnsi="Calibri" w:cs="Calibri"/>
                <w:b/>
                <w:sz w:val="18"/>
              </w:rPr>
              <w:t>-13.330.405</w:t>
            </w:r>
          </w:p>
        </w:tc>
        <w:tc>
          <w:tcPr>
            <w:tcW w:w="690" w:type="pct"/>
            <w:vAlign w:val="bottom"/>
          </w:tcPr>
          <w:p w:rsidR="001076B3" w:rsidRDefault="00E2623C">
            <w:pPr>
              <w:spacing w:after="0" w:line="240" w:lineRule="auto"/>
              <w:jc w:val="right"/>
            </w:pPr>
            <w:r>
              <w:rPr>
                <w:rFonts w:ascii="Calibri" w:hAnsi="Calibri" w:cs="Calibri"/>
                <w:b/>
                <w:sz w:val="18"/>
              </w:rPr>
              <w:t>-12.656.253</w:t>
            </w:r>
          </w:p>
        </w:tc>
        <w:tc>
          <w:tcPr>
            <w:tcW w:w="400" w:type="pct"/>
            <w:vAlign w:val="bottom"/>
          </w:tcPr>
          <w:p w:rsidR="001076B3" w:rsidRDefault="00E2623C">
            <w:pPr>
              <w:spacing w:after="0" w:line="240" w:lineRule="auto"/>
              <w:jc w:val="right"/>
            </w:pPr>
            <w:r>
              <w:rPr>
                <w:rFonts w:ascii="Calibri" w:hAnsi="Calibri" w:cs="Calibri"/>
                <w:b/>
                <w:sz w:val="18"/>
              </w:rPr>
              <w:t>61,6</w:t>
            </w:r>
          </w:p>
        </w:tc>
      </w:tr>
    </w:tbl>
    <w:p w:rsidR="001076B3" w:rsidRDefault="001076B3">
      <w:pPr>
        <w:spacing w:after="0" w:line="240" w:lineRule="auto"/>
      </w:pPr>
    </w:p>
    <w:p w:rsidR="001076B3" w:rsidRDefault="00E2623C">
      <w:pPr>
        <w:spacing w:line="240" w:lineRule="auto"/>
        <w:jc w:val="both"/>
      </w:pPr>
      <w:r>
        <w:rPr>
          <w:rFonts w:ascii="Calibri" w:hAnsi="Calibri" w:cs="Calibri"/>
        </w:rPr>
        <w:t>Sukladno EU Direktivi o sustavima osiguranja depozita kao i temeljem Zakona o sustavu osiguranja depozita, sredstva Fonda osiguranja depozita koriste se isključivo za namjene utvrđene Zakonom o sustavu osiguranja depozita.</w:t>
      </w:r>
    </w:p>
    <w:p w:rsidR="001076B3" w:rsidRDefault="00E2623C">
      <w:pPr>
        <w:spacing w:line="240" w:lineRule="auto"/>
        <w:jc w:val="both"/>
      </w:pPr>
      <w:r>
        <w:rPr>
          <w:rFonts w:ascii="Calibri" w:hAnsi="Calibri" w:cs="Calibri"/>
        </w:rPr>
        <w:t>Na poziciji primitaka Agencija za 2026. godini planira primitke u iznosu od 331.807 EUR, dok u 2027. i 2028. godini ne planira primitke po ovoj osnovi. Navedeni primici odnose se na primitke od financijske imovine (obveznice) koje dospijevaju u 2026. godini.</w:t>
      </w:r>
    </w:p>
    <w:p w:rsidR="001076B3" w:rsidRDefault="00E2623C">
      <w:pPr>
        <w:spacing w:line="240" w:lineRule="auto"/>
        <w:jc w:val="both"/>
      </w:pPr>
      <w:r>
        <w:rPr>
          <w:rFonts w:ascii="Calibri" w:hAnsi="Calibri" w:cs="Calibri"/>
        </w:rPr>
        <w:t>Prijenos sredstava iz prethodne godine predstavlja sredstva Fonda. Prijenos sredstava u sljedeću godinu predstavljaju sredstva prenesena iz prethodnog razdoblja uvećana za višak sredstava u tekućem razdoblju raspoloživ za prijenos u slijedeće razdoblje.</w:t>
      </w:r>
    </w:p>
    <w:p w:rsidR="001076B3" w:rsidRDefault="00E2623C">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1076B3">
        <w:tc>
          <w:tcPr>
            <w:tcW w:w="970" w:type="pct"/>
            <w:shd w:val="clear" w:color="auto" w:fill="BCDFFB"/>
            <w:vAlign w:val="center"/>
          </w:tcPr>
          <w:p w:rsidR="001076B3" w:rsidRDefault="001076B3">
            <w:pPr>
              <w:spacing w:after="0" w:line="240" w:lineRule="auto"/>
              <w:jc w:val="center"/>
            </w:pPr>
          </w:p>
        </w:tc>
        <w:tc>
          <w:tcPr>
            <w:tcW w:w="1900" w:type="pct"/>
            <w:shd w:val="clear" w:color="auto" w:fill="BCDFFB"/>
            <w:vAlign w:val="center"/>
          </w:tcPr>
          <w:p w:rsidR="001076B3" w:rsidRDefault="00E2623C">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1076B3" w:rsidRDefault="00E2623C">
            <w:pPr>
              <w:spacing w:after="0" w:line="240" w:lineRule="auto"/>
              <w:jc w:val="center"/>
            </w:pPr>
            <w:r>
              <w:rPr>
                <w:rFonts w:ascii="Calibri" w:hAnsi="Calibri" w:cs="Calibri"/>
                <w:b/>
                <w:sz w:val="18"/>
              </w:rPr>
              <w:t>Stanje obveza na dan 30.06.2025.</w:t>
            </w:r>
          </w:p>
        </w:tc>
      </w:tr>
      <w:tr w:rsidR="001076B3">
        <w:tc>
          <w:tcPr>
            <w:tcW w:w="970" w:type="pct"/>
            <w:vAlign w:val="center"/>
          </w:tcPr>
          <w:p w:rsidR="001076B3" w:rsidRDefault="00E2623C">
            <w:pPr>
              <w:spacing w:after="0" w:line="240" w:lineRule="auto"/>
            </w:pPr>
            <w:r>
              <w:rPr>
                <w:rFonts w:ascii="Calibri" w:hAnsi="Calibri" w:cs="Calibri"/>
                <w:sz w:val="18"/>
              </w:rPr>
              <w:t>UKUPNE OBVEZE</w:t>
            </w:r>
          </w:p>
        </w:tc>
        <w:tc>
          <w:tcPr>
            <w:tcW w:w="1900" w:type="pct"/>
            <w:vAlign w:val="bottom"/>
          </w:tcPr>
          <w:p w:rsidR="001076B3" w:rsidRDefault="00E2623C">
            <w:pPr>
              <w:spacing w:after="0" w:line="240" w:lineRule="auto"/>
              <w:jc w:val="right"/>
            </w:pPr>
            <w:r>
              <w:rPr>
                <w:rFonts w:ascii="Calibri" w:hAnsi="Calibri" w:cs="Calibri"/>
                <w:sz w:val="18"/>
              </w:rPr>
              <w:t>3.424.156</w:t>
            </w:r>
          </w:p>
        </w:tc>
        <w:tc>
          <w:tcPr>
            <w:tcW w:w="1900" w:type="pct"/>
            <w:vAlign w:val="bottom"/>
          </w:tcPr>
          <w:p w:rsidR="001076B3" w:rsidRDefault="00E2623C">
            <w:pPr>
              <w:spacing w:after="0" w:line="240" w:lineRule="auto"/>
              <w:jc w:val="right"/>
            </w:pPr>
            <w:r>
              <w:rPr>
                <w:rFonts w:ascii="Calibri" w:hAnsi="Calibri" w:cs="Calibri"/>
                <w:sz w:val="18"/>
              </w:rPr>
              <w:t>3.435.242</w:t>
            </w:r>
          </w:p>
        </w:tc>
      </w:tr>
      <w:tr w:rsidR="001076B3">
        <w:tc>
          <w:tcPr>
            <w:tcW w:w="970" w:type="pct"/>
            <w:vAlign w:val="center"/>
          </w:tcPr>
          <w:p w:rsidR="001076B3" w:rsidRDefault="00E2623C">
            <w:pPr>
              <w:spacing w:after="0" w:line="240" w:lineRule="auto"/>
            </w:pPr>
            <w:r>
              <w:rPr>
                <w:rFonts w:ascii="Calibri" w:hAnsi="Calibri" w:cs="Calibri"/>
                <w:sz w:val="18"/>
              </w:rPr>
              <w:t>DOSPJELE OBVEZE</w:t>
            </w:r>
          </w:p>
        </w:tc>
        <w:tc>
          <w:tcPr>
            <w:tcW w:w="1900" w:type="pct"/>
            <w:vAlign w:val="bottom"/>
          </w:tcPr>
          <w:p w:rsidR="001076B3" w:rsidRDefault="00E2623C">
            <w:pPr>
              <w:spacing w:after="0" w:line="240" w:lineRule="auto"/>
              <w:jc w:val="right"/>
            </w:pPr>
            <w:r>
              <w:rPr>
                <w:rFonts w:ascii="Calibri" w:hAnsi="Calibri" w:cs="Calibri"/>
                <w:sz w:val="18"/>
              </w:rPr>
              <w:t>0</w:t>
            </w:r>
          </w:p>
        </w:tc>
        <w:tc>
          <w:tcPr>
            <w:tcW w:w="1900" w:type="pct"/>
            <w:vAlign w:val="bottom"/>
          </w:tcPr>
          <w:p w:rsidR="001076B3" w:rsidRDefault="00E2623C">
            <w:pPr>
              <w:spacing w:after="0" w:line="240" w:lineRule="auto"/>
              <w:jc w:val="right"/>
            </w:pPr>
            <w:r>
              <w:rPr>
                <w:rFonts w:ascii="Calibri" w:hAnsi="Calibri" w:cs="Calibri"/>
                <w:sz w:val="18"/>
              </w:rPr>
              <w:t>0</w:t>
            </w:r>
          </w:p>
        </w:tc>
      </w:tr>
    </w:tbl>
    <w:p w:rsidR="001076B3" w:rsidRDefault="001076B3">
      <w:pPr>
        <w:spacing w:after="0" w:line="240" w:lineRule="auto"/>
      </w:pPr>
    </w:p>
    <w:p w:rsidR="001076B3" w:rsidRDefault="00C157A8">
      <w:pPr>
        <w:spacing w:line="240" w:lineRule="auto"/>
        <w:jc w:val="both"/>
      </w:pPr>
      <w:r>
        <w:rPr>
          <w:rFonts w:ascii="Calibri" w:hAnsi="Calibri" w:cs="Calibri"/>
        </w:rPr>
        <w:t xml:space="preserve">Na dan 31. prosinca </w:t>
      </w:r>
      <w:r w:rsidR="00E2623C">
        <w:rPr>
          <w:rFonts w:ascii="Calibri" w:hAnsi="Calibri" w:cs="Calibri"/>
        </w:rPr>
        <w:t xml:space="preserve">2024. godine Agencija iskazuje ukupne obveze u iznosu 3.424.156,13 EUR, dok na isti dan nema dospjelih nepodmirenih obveza.     </w:t>
      </w:r>
    </w:p>
    <w:p w:rsidR="001076B3" w:rsidRDefault="00C157A8">
      <w:pPr>
        <w:spacing w:line="240" w:lineRule="auto"/>
        <w:jc w:val="both"/>
      </w:pPr>
      <w:r>
        <w:rPr>
          <w:rFonts w:ascii="Calibri" w:hAnsi="Calibri" w:cs="Calibri"/>
        </w:rPr>
        <w:t xml:space="preserve">Na dan 30. lipnja </w:t>
      </w:r>
      <w:r w:rsidR="00E2623C">
        <w:rPr>
          <w:rFonts w:ascii="Calibri" w:hAnsi="Calibri" w:cs="Calibri"/>
        </w:rPr>
        <w:t>2025. godine Agencija iskazuje ukupne obveze u iznosu 3.435.241,60 EUR, dok na isti dan nema dospjelih nepodmirenih obveza.     </w:t>
      </w:r>
    </w:p>
    <w:p w:rsidR="00BE7A21" w:rsidRDefault="00BE7A21">
      <w:pPr>
        <w:spacing w:line="240" w:lineRule="auto"/>
        <w:rPr>
          <w:rFonts w:ascii="Calibri" w:hAnsi="Calibri" w:cs="Calibri"/>
          <w:b/>
          <w:u w:val="single"/>
        </w:rPr>
      </w:pPr>
    </w:p>
    <w:p w:rsidR="00BE7A21" w:rsidRDefault="00BE7A21">
      <w:pPr>
        <w:spacing w:line="240" w:lineRule="auto"/>
        <w:rPr>
          <w:rFonts w:ascii="Calibri" w:hAnsi="Calibri" w:cs="Calibri"/>
          <w:b/>
          <w:u w:val="single"/>
        </w:rPr>
      </w:pPr>
    </w:p>
    <w:p w:rsidR="00CA6E51" w:rsidRPr="00BE7A21" w:rsidRDefault="00E2623C">
      <w:pPr>
        <w:spacing w:line="240" w:lineRule="auto"/>
        <w:rPr>
          <w:rFonts w:ascii="Calibri" w:hAnsi="Calibri" w:cs="Calibri"/>
          <w:b/>
          <w:u w:val="single"/>
        </w:rPr>
      </w:pPr>
      <w:r>
        <w:rPr>
          <w:rFonts w:ascii="Calibri" w:hAnsi="Calibri" w:cs="Calibri"/>
          <w:b/>
          <w:u w:val="single"/>
        </w:rPr>
        <w:lastRenderedPageBreak/>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004 HRVATSKA AGENCIJA ZA OSIGURANJE DEPOZITA</w:t>
            </w:r>
          </w:p>
        </w:tc>
        <w:tc>
          <w:tcPr>
            <w:tcW w:w="690" w:type="pct"/>
            <w:vAlign w:val="bottom"/>
          </w:tcPr>
          <w:p w:rsidR="001076B3" w:rsidRDefault="00E2623C">
            <w:pPr>
              <w:spacing w:after="0" w:line="240" w:lineRule="auto"/>
              <w:jc w:val="right"/>
            </w:pPr>
            <w:r>
              <w:rPr>
                <w:rFonts w:ascii="Calibri" w:hAnsi="Calibri" w:cs="Calibri"/>
                <w:sz w:val="18"/>
              </w:rPr>
              <w:t>100.428.808</w:t>
            </w:r>
          </w:p>
        </w:tc>
        <w:tc>
          <w:tcPr>
            <w:tcW w:w="690" w:type="pct"/>
            <w:vAlign w:val="bottom"/>
          </w:tcPr>
          <w:p w:rsidR="001076B3" w:rsidRDefault="00E2623C">
            <w:pPr>
              <w:spacing w:after="0" w:line="240" w:lineRule="auto"/>
              <w:jc w:val="right"/>
            </w:pPr>
            <w:r>
              <w:rPr>
                <w:rFonts w:ascii="Calibri" w:hAnsi="Calibri" w:cs="Calibri"/>
                <w:sz w:val="18"/>
              </w:rPr>
              <w:t>1.982.332</w:t>
            </w:r>
          </w:p>
        </w:tc>
        <w:tc>
          <w:tcPr>
            <w:tcW w:w="690" w:type="pct"/>
            <w:vAlign w:val="bottom"/>
          </w:tcPr>
          <w:p w:rsidR="001076B3" w:rsidRDefault="00E2623C">
            <w:pPr>
              <w:spacing w:after="0" w:line="240" w:lineRule="auto"/>
              <w:jc w:val="right"/>
            </w:pPr>
            <w:r>
              <w:rPr>
                <w:rFonts w:ascii="Calibri" w:hAnsi="Calibri" w:cs="Calibri"/>
                <w:sz w:val="18"/>
              </w:rPr>
              <w:t>1.412.975</w:t>
            </w:r>
          </w:p>
        </w:tc>
        <w:tc>
          <w:tcPr>
            <w:tcW w:w="690" w:type="pct"/>
            <w:vAlign w:val="bottom"/>
          </w:tcPr>
          <w:p w:rsidR="001076B3" w:rsidRDefault="00E2623C">
            <w:pPr>
              <w:spacing w:after="0" w:line="240" w:lineRule="auto"/>
              <w:jc w:val="right"/>
            </w:pPr>
            <w:r>
              <w:rPr>
                <w:rFonts w:ascii="Calibri" w:hAnsi="Calibri" w:cs="Calibri"/>
                <w:sz w:val="18"/>
              </w:rPr>
              <w:t>1.442.651</w:t>
            </w:r>
          </w:p>
        </w:tc>
        <w:tc>
          <w:tcPr>
            <w:tcW w:w="690" w:type="pct"/>
            <w:vAlign w:val="bottom"/>
          </w:tcPr>
          <w:p w:rsidR="001076B3" w:rsidRDefault="00E2623C">
            <w:pPr>
              <w:spacing w:after="0" w:line="240" w:lineRule="auto"/>
              <w:jc w:val="right"/>
            </w:pPr>
            <w:r>
              <w:rPr>
                <w:rFonts w:ascii="Calibri" w:hAnsi="Calibri" w:cs="Calibri"/>
                <w:sz w:val="18"/>
              </w:rPr>
              <w:t>1.466.425</w:t>
            </w:r>
          </w:p>
        </w:tc>
        <w:tc>
          <w:tcPr>
            <w:tcW w:w="400" w:type="pct"/>
            <w:vAlign w:val="bottom"/>
          </w:tcPr>
          <w:p w:rsidR="001076B3" w:rsidRDefault="00E2623C">
            <w:pPr>
              <w:spacing w:after="0" w:line="240" w:lineRule="auto"/>
              <w:jc w:val="right"/>
            </w:pPr>
            <w:r>
              <w:rPr>
                <w:rFonts w:ascii="Calibri" w:hAnsi="Calibri" w:cs="Calibri"/>
                <w:sz w:val="18"/>
              </w:rPr>
              <w:t>71,3</w:t>
            </w:r>
          </w:p>
        </w:tc>
      </w:tr>
    </w:tbl>
    <w:p w:rsidR="001076B3" w:rsidRDefault="001076B3">
      <w:pPr>
        <w:spacing w:after="0" w:line="240" w:lineRule="auto"/>
      </w:pPr>
    </w:p>
    <w:p w:rsidR="001076B3" w:rsidRDefault="00E2623C">
      <w:pPr>
        <w:spacing w:line="240" w:lineRule="auto"/>
      </w:pPr>
      <w:r>
        <w:rPr>
          <w:rFonts w:ascii="Calibri" w:hAnsi="Calibri" w:cs="Calibri"/>
          <w:b/>
        </w:rPr>
        <w:br/>
        <w:t>4000 UPRAVLJANJE FONDOM OSIGURANJA DEPOZITA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4000</w:t>
            </w:r>
          </w:p>
        </w:tc>
        <w:tc>
          <w:tcPr>
            <w:tcW w:w="690" w:type="pct"/>
            <w:vAlign w:val="bottom"/>
          </w:tcPr>
          <w:p w:rsidR="001076B3" w:rsidRDefault="00E2623C">
            <w:pPr>
              <w:spacing w:after="0" w:line="240" w:lineRule="auto"/>
              <w:jc w:val="right"/>
            </w:pPr>
            <w:r>
              <w:rPr>
                <w:rFonts w:ascii="Calibri" w:hAnsi="Calibri" w:cs="Calibri"/>
                <w:sz w:val="18"/>
              </w:rPr>
              <w:t>100.162.001</w:t>
            </w:r>
          </w:p>
        </w:tc>
        <w:tc>
          <w:tcPr>
            <w:tcW w:w="690" w:type="pct"/>
            <w:vAlign w:val="bottom"/>
          </w:tcPr>
          <w:p w:rsidR="001076B3" w:rsidRDefault="00E2623C">
            <w:pPr>
              <w:spacing w:after="0" w:line="240" w:lineRule="auto"/>
              <w:jc w:val="right"/>
            </w:pPr>
            <w:r>
              <w:rPr>
                <w:rFonts w:ascii="Calibri" w:hAnsi="Calibri" w:cs="Calibri"/>
                <w:sz w:val="18"/>
              </w:rPr>
              <w:t>1.784.097</w:t>
            </w:r>
          </w:p>
        </w:tc>
        <w:tc>
          <w:tcPr>
            <w:tcW w:w="690" w:type="pct"/>
            <w:vAlign w:val="bottom"/>
          </w:tcPr>
          <w:p w:rsidR="001076B3" w:rsidRDefault="00E2623C">
            <w:pPr>
              <w:spacing w:after="0" w:line="240" w:lineRule="auto"/>
              <w:jc w:val="right"/>
            </w:pPr>
            <w:r>
              <w:rPr>
                <w:rFonts w:ascii="Calibri" w:hAnsi="Calibri" w:cs="Calibri"/>
                <w:sz w:val="18"/>
              </w:rPr>
              <w:t>1.412.975</w:t>
            </w:r>
          </w:p>
        </w:tc>
        <w:tc>
          <w:tcPr>
            <w:tcW w:w="690" w:type="pct"/>
            <w:vAlign w:val="bottom"/>
          </w:tcPr>
          <w:p w:rsidR="001076B3" w:rsidRDefault="00E2623C">
            <w:pPr>
              <w:spacing w:after="0" w:line="240" w:lineRule="auto"/>
              <w:jc w:val="right"/>
            </w:pPr>
            <w:r>
              <w:rPr>
                <w:rFonts w:ascii="Calibri" w:hAnsi="Calibri" w:cs="Calibri"/>
                <w:sz w:val="18"/>
              </w:rPr>
              <w:t>1.442.651</w:t>
            </w:r>
          </w:p>
        </w:tc>
        <w:tc>
          <w:tcPr>
            <w:tcW w:w="690" w:type="pct"/>
            <w:vAlign w:val="bottom"/>
          </w:tcPr>
          <w:p w:rsidR="001076B3" w:rsidRDefault="00E2623C">
            <w:pPr>
              <w:spacing w:after="0" w:line="240" w:lineRule="auto"/>
              <w:jc w:val="right"/>
            </w:pPr>
            <w:r>
              <w:rPr>
                <w:rFonts w:ascii="Calibri" w:hAnsi="Calibri" w:cs="Calibri"/>
                <w:sz w:val="18"/>
              </w:rPr>
              <w:t>1.466.425</w:t>
            </w:r>
          </w:p>
        </w:tc>
        <w:tc>
          <w:tcPr>
            <w:tcW w:w="400" w:type="pct"/>
            <w:vAlign w:val="bottom"/>
          </w:tcPr>
          <w:p w:rsidR="001076B3" w:rsidRDefault="00E2623C">
            <w:pPr>
              <w:spacing w:after="0" w:line="240" w:lineRule="auto"/>
              <w:jc w:val="right"/>
            </w:pPr>
            <w:r>
              <w:rPr>
                <w:rFonts w:ascii="Calibri" w:hAnsi="Calibri" w:cs="Calibri"/>
                <w:sz w:val="18"/>
              </w:rPr>
              <w:t>79,2</w:t>
            </w:r>
          </w:p>
        </w:tc>
      </w:tr>
    </w:tbl>
    <w:p w:rsidR="001076B3" w:rsidRDefault="001076B3">
      <w:pPr>
        <w:spacing w:after="0" w:line="240" w:lineRule="auto"/>
      </w:pPr>
    </w:p>
    <w:p w:rsidR="001076B3" w:rsidRDefault="00E2623C">
      <w:pPr>
        <w:spacing w:line="240" w:lineRule="auto"/>
      </w:pPr>
      <w:r>
        <w:rPr>
          <w:rFonts w:ascii="Calibri" w:hAnsi="Calibri" w:cs="Calibri"/>
          <w:b/>
        </w:rPr>
        <w:t xml:space="preserve">Cilj: </w:t>
      </w:r>
      <w:r>
        <w:rPr>
          <w:rFonts w:ascii="Calibri" w:hAnsi="Calibri" w:cs="Calibri"/>
        </w:rPr>
        <w:t>Učinkovito upravljanje Fondom osiguranih depozita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8"/>
        <w:gridCol w:w="1026"/>
        <w:gridCol w:w="1026"/>
        <w:gridCol w:w="1027"/>
        <w:gridCol w:w="1027"/>
        <w:gridCol w:w="1027"/>
        <w:gridCol w:w="1027"/>
      </w:tblGrid>
      <w:tr w:rsidR="001076B3">
        <w:tc>
          <w:tcPr>
            <w:tcW w:w="950" w:type="pct"/>
            <w:shd w:val="clear" w:color="auto" w:fill="BCDFFB"/>
            <w:vAlign w:val="center"/>
          </w:tcPr>
          <w:p w:rsidR="001076B3" w:rsidRDefault="00E2623C">
            <w:pPr>
              <w:spacing w:after="0" w:line="240" w:lineRule="auto"/>
              <w:jc w:val="center"/>
            </w:pPr>
            <w:r>
              <w:rPr>
                <w:rFonts w:ascii="Calibri" w:hAnsi="Calibri" w:cs="Calibri"/>
                <w:b/>
                <w:sz w:val="18"/>
              </w:rPr>
              <w:t>Pokazatelj učinka</w:t>
            </w:r>
          </w:p>
        </w:tc>
        <w:tc>
          <w:tcPr>
            <w:tcW w:w="550" w:type="pct"/>
            <w:shd w:val="clear" w:color="auto" w:fill="BCDFFB"/>
            <w:vAlign w:val="center"/>
          </w:tcPr>
          <w:p w:rsidR="001076B3" w:rsidRDefault="00E2623C">
            <w:pPr>
              <w:spacing w:after="0" w:line="240" w:lineRule="auto"/>
              <w:jc w:val="center"/>
            </w:pPr>
            <w:r>
              <w:rPr>
                <w:rFonts w:ascii="Calibri" w:hAnsi="Calibri" w:cs="Calibri"/>
                <w:b/>
                <w:sz w:val="18"/>
              </w:rPr>
              <w:t>Definicija</w:t>
            </w:r>
          </w:p>
        </w:tc>
        <w:tc>
          <w:tcPr>
            <w:tcW w:w="550" w:type="pct"/>
            <w:shd w:val="clear" w:color="auto" w:fill="BCDFFB"/>
            <w:vAlign w:val="center"/>
          </w:tcPr>
          <w:p w:rsidR="001076B3" w:rsidRDefault="00E2623C">
            <w:pPr>
              <w:spacing w:after="0" w:line="240" w:lineRule="auto"/>
              <w:jc w:val="center"/>
            </w:pPr>
            <w:r>
              <w:rPr>
                <w:rFonts w:ascii="Calibri" w:hAnsi="Calibri" w:cs="Calibri"/>
                <w:b/>
                <w:sz w:val="18"/>
              </w:rPr>
              <w:t>Jedinica</w:t>
            </w:r>
          </w:p>
        </w:tc>
        <w:tc>
          <w:tcPr>
            <w:tcW w:w="550" w:type="pct"/>
            <w:shd w:val="clear" w:color="auto" w:fill="BCDFFB"/>
            <w:vAlign w:val="center"/>
          </w:tcPr>
          <w:p w:rsidR="001076B3" w:rsidRDefault="00E2623C">
            <w:pPr>
              <w:spacing w:after="0" w:line="240" w:lineRule="auto"/>
              <w:jc w:val="center"/>
            </w:pPr>
            <w:r>
              <w:rPr>
                <w:rFonts w:ascii="Calibri" w:hAnsi="Calibri" w:cs="Calibri"/>
                <w:b/>
                <w:sz w:val="18"/>
              </w:rPr>
              <w:t>Polazna vrijednost</w:t>
            </w:r>
          </w:p>
        </w:tc>
        <w:tc>
          <w:tcPr>
            <w:tcW w:w="550" w:type="pct"/>
            <w:shd w:val="clear" w:color="auto" w:fill="BCDFFB"/>
            <w:vAlign w:val="center"/>
          </w:tcPr>
          <w:p w:rsidR="001076B3" w:rsidRDefault="00E2623C">
            <w:pPr>
              <w:spacing w:after="0" w:line="240" w:lineRule="auto"/>
              <w:jc w:val="center"/>
            </w:pPr>
            <w:r>
              <w:rPr>
                <w:rFonts w:ascii="Calibri" w:hAnsi="Calibri" w:cs="Calibri"/>
                <w:b/>
                <w:sz w:val="18"/>
              </w:rPr>
              <w:t>Izvor podataka</w:t>
            </w:r>
          </w:p>
        </w:tc>
        <w:tc>
          <w:tcPr>
            <w:tcW w:w="550" w:type="pct"/>
            <w:shd w:val="clear" w:color="auto" w:fill="BCDFFB"/>
            <w:vAlign w:val="center"/>
          </w:tcPr>
          <w:p w:rsidR="001076B3" w:rsidRDefault="00E2623C">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1076B3" w:rsidRDefault="00E2623C">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1076B3" w:rsidRDefault="00E2623C">
            <w:pPr>
              <w:spacing w:after="0" w:line="240" w:lineRule="auto"/>
              <w:jc w:val="center"/>
            </w:pPr>
            <w:r>
              <w:rPr>
                <w:rFonts w:ascii="Calibri" w:hAnsi="Calibri" w:cs="Calibri"/>
                <w:b/>
                <w:sz w:val="18"/>
              </w:rPr>
              <w:t>Ciljana vrijednost za 2028.</w:t>
            </w:r>
          </w:p>
        </w:tc>
      </w:tr>
      <w:tr w:rsidR="001076B3">
        <w:tc>
          <w:tcPr>
            <w:tcW w:w="950" w:type="pct"/>
            <w:vAlign w:val="center"/>
          </w:tcPr>
          <w:p w:rsidR="001076B3" w:rsidRDefault="00E2623C">
            <w:pPr>
              <w:spacing w:after="0" w:line="240" w:lineRule="auto"/>
              <w:jc w:val="center"/>
            </w:pPr>
            <w:r>
              <w:rPr>
                <w:rFonts w:ascii="Calibri" w:hAnsi="Calibri" w:cs="Calibri"/>
                <w:sz w:val="18"/>
              </w:rPr>
              <w:t>Izvještaj o obračunatoj i naplaćenoj premiji za osigurane depozite</w:t>
            </w:r>
          </w:p>
        </w:tc>
        <w:tc>
          <w:tcPr>
            <w:tcW w:w="550" w:type="pct"/>
            <w:vAlign w:val="center"/>
          </w:tcPr>
          <w:p w:rsidR="001076B3" w:rsidRDefault="00E2623C">
            <w:pPr>
              <w:spacing w:after="0" w:line="240" w:lineRule="auto"/>
              <w:jc w:val="center"/>
            </w:pPr>
            <w:r>
              <w:rPr>
                <w:rFonts w:ascii="Calibri" w:hAnsi="Calibri" w:cs="Calibri"/>
                <w:sz w:val="18"/>
              </w:rPr>
              <w:t>Agencija obračunava i prikuplja premije za osigurane depozite</w:t>
            </w:r>
          </w:p>
        </w:tc>
        <w:tc>
          <w:tcPr>
            <w:tcW w:w="550" w:type="pct"/>
            <w:vAlign w:val="center"/>
          </w:tcPr>
          <w:p w:rsidR="001076B3" w:rsidRDefault="00E2623C">
            <w:pPr>
              <w:spacing w:after="0" w:line="240" w:lineRule="auto"/>
              <w:jc w:val="center"/>
            </w:pPr>
            <w:r>
              <w:rPr>
                <w:rFonts w:ascii="Calibri" w:hAnsi="Calibri" w:cs="Calibri"/>
                <w:sz w:val="18"/>
              </w:rPr>
              <w:t>%</w:t>
            </w:r>
          </w:p>
        </w:tc>
        <w:tc>
          <w:tcPr>
            <w:tcW w:w="550" w:type="pct"/>
            <w:vAlign w:val="center"/>
          </w:tcPr>
          <w:p w:rsidR="001076B3" w:rsidRDefault="00E2623C">
            <w:pPr>
              <w:spacing w:after="0" w:line="240" w:lineRule="auto"/>
              <w:jc w:val="right"/>
            </w:pPr>
            <w:r>
              <w:rPr>
                <w:rFonts w:ascii="Calibri" w:hAnsi="Calibri" w:cs="Calibri"/>
                <w:sz w:val="18"/>
              </w:rPr>
              <w:t>100,0</w:t>
            </w:r>
          </w:p>
        </w:tc>
        <w:tc>
          <w:tcPr>
            <w:tcW w:w="550" w:type="pct"/>
            <w:vAlign w:val="center"/>
          </w:tcPr>
          <w:p w:rsidR="001076B3" w:rsidRDefault="00E2623C">
            <w:pPr>
              <w:spacing w:after="0" w:line="240" w:lineRule="auto"/>
              <w:jc w:val="center"/>
            </w:pPr>
            <w:r>
              <w:rPr>
                <w:rFonts w:ascii="Calibri" w:hAnsi="Calibri" w:cs="Calibri"/>
                <w:sz w:val="18"/>
              </w:rPr>
              <w:t>HAOD</w:t>
            </w:r>
          </w:p>
        </w:tc>
        <w:tc>
          <w:tcPr>
            <w:tcW w:w="550" w:type="pct"/>
            <w:vAlign w:val="center"/>
          </w:tcPr>
          <w:p w:rsidR="001076B3" w:rsidRDefault="00E2623C">
            <w:pPr>
              <w:spacing w:after="0" w:line="240" w:lineRule="auto"/>
              <w:jc w:val="right"/>
            </w:pPr>
            <w:r>
              <w:rPr>
                <w:rFonts w:ascii="Calibri" w:hAnsi="Calibri" w:cs="Calibri"/>
                <w:sz w:val="18"/>
              </w:rPr>
              <w:t>0,0</w:t>
            </w:r>
          </w:p>
        </w:tc>
        <w:tc>
          <w:tcPr>
            <w:tcW w:w="550" w:type="pct"/>
            <w:vAlign w:val="center"/>
          </w:tcPr>
          <w:p w:rsidR="001076B3" w:rsidRDefault="00E2623C">
            <w:pPr>
              <w:spacing w:after="0" w:line="240" w:lineRule="auto"/>
              <w:jc w:val="right"/>
            </w:pPr>
            <w:r>
              <w:rPr>
                <w:rFonts w:ascii="Calibri" w:hAnsi="Calibri" w:cs="Calibri"/>
                <w:sz w:val="18"/>
              </w:rPr>
              <w:t>0,0</w:t>
            </w:r>
          </w:p>
        </w:tc>
        <w:tc>
          <w:tcPr>
            <w:tcW w:w="550" w:type="pct"/>
            <w:vAlign w:val="center"/>
          </w:tcPr>
          <w:p w:rsidR="001076B3" w:rsidRDefault="00E2623C">
            <w:pPr>
              <w:spacing w:after="0" w:line="240" w:lineRule="auto"/>
              <w:jc w:val="right"/>
            </w:pPr>
            <w:r>
              <w:rPr>
                <w:rFonts w:ascii="Calibri" w:hAnsi="Calibri" w:cs="Calibri"/>
                <w:sz w:val="18"/>
              </w:rPr>
              <w:t>0,0</w:t>
            </w:r>
          </w:p>
        </w:tc>
      </w:tr>
    </w:tbl>
    <w:p w:rsidR="001076B3" w:rsidRDefault="001076B3">
      <w:pPr>
        <w:spacing w:after="0" w:line="240" w:lineRule="auto"/>
      </w:pPr>
    </w:p>
    <w:p w:rsidR="001076B3" w:rsidRDefault="00E2623C">
      <w:pPr>
        <w:spacing w:line="240" w:lineRule="auto"/>
      </w:pPr>
      <w:r>
        <w:rPr>
          <w:rFonts w:ascii="Calibri" w:hAnsi="Calibri" w:cs="Calibri"/>
          <w:b/>
        </w:rPr>
        <w:br/>
        <w:t xml:space="preserve">A400000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A400000</w:t>
            </w:r>
          </w:p>
        </w:tc>
        <w:tc>
          <w:tcPr>
            <w:tcW w:w="690" w:type="pct"/>
            <w:vAlign w:val="bottom"/>
          </w:tcPr>
          <w:p w:rsidR="001076B3" w:rsidRDefault="00E2623C">
            <w:pPr>
              <w:spacing w:after="0" w:line="240" w:lineRule="auto"/>
              <w:jc w:val="right"/>
            </w:pPr>
            <w:r>
              <w:rPr>
                <w:rFonts w:ascii="Calibri" w:hAnsi="Calibri" w:cs="Calibri"/>
                <w:sz w:val="18"/>
              </w:rPr>
              <w:t>100.085.896</w:t>
            </w:r>
          </w:p>
        </w:tc>
        <w:tc>
          <w:tcPr>
            <w:tcW w:w="690" w:type="pct"/>
            <w:vAlign w:val="bottom"/>
          </w:tcPr>
          <w:p w:rsidR="001076B3" w:rsidRDefault="00E2623C">
            <w:pPr>
              <w:spacing w:after="0" w:line="240" w:lineRule="auto"/>
              <w:jc w:val="right"/>
            </w:pPr>
            <w:r>
              <w:rPr>
                <w:rFonts w:ascii="Calibri" w:hAnsi="Calibri" w:cs="Calibri"/>
                <w:sz w:val="18"/>
              </w:rPr>
              <w:t>1.757.177</w:t>
            </w:r>
          </w:p>
        </w:tc>
        <w:tc>
          <w:tcPr>
            <w:tcW w:w="690" w:type="pct"/>
            <w:vAlign w:val="bottom"/>
          </w:tcPr>
          <w:p w:rsidR="001076B3" w:rsidRDefault="00E2623C">
            <w:pPr>
              <w:spacing w:after="0" w:line="240" w:lineRule="auto"/>
              <w:jc w:val="right"/>
            </w:pPr>
            <w:r>
              <w:rPr>
                <w:rFonts w:ascii="Calibri" w:hAnsi="Calibri" w:cs="Calibri"/>
                <w:sz w:val="18"/>
              </w:rPr>
              <w:t>1.395.575</w:t>
            </w:r>
          </w:p>
        </w:tc>
        <w:tc>
          <w:tcPr>
            <w:tcW w:w="690" w:type="pct"/>
            <w:vAlign w:val="bottom"/>
          </w:tcPr>
          <w:p w:rsidR="001076B3" w:rsidRDefault="00E2623C">
            <w:pPr>
              <w:spacing w:after="0" w:line="240" w:lineRule="auto"/>
              <w:jc w:val="right"/>
            </w:pPr>
            <w:r>
              <w:rPr>
                <w:rFonts w:ascii="Calibri" w:hAnsi="Calibri" w:cs="Calibri"/>
                <w:sz w:val="18"/>
              </w:rPr>
              <w:t>1.422.651</w:t>
            </w:r>
          </w:p>
        </w:tc>
        <w:tc>
          <w:tcPr>
            <w:tcW w:w="690" w:type="pct"/>
            <w:vAlign w:val="bottom"/>
          </w:tcPr>
          <w:p w:rsidR="001076B3" w:rsidRDefault="00E2623C">
            <w:pPr>
              <w:spacing w:after="0" w:line="240" w:lineRule="auto"/>
              <w:jc w:val="right"/>
            </w:pPr>
            <w:r>
              <w:rPr>
                <w:rFonts w:ascii="Calibri" w:hAnsi="Calibri" w:cs="Calibri"/>
                <w:sz w:val="18"/>
              </w:rPr>
              <w:t>1.446.425</w:t>
            </w:r>
          </w:p>
        </w:tc>
        <w:tc>
          <w:tcPr>
            <w:tcW w:w="400" w:type="pct"/>
            <w:vAlign w:val="bottom"/>
          </w:tcPr>
          <w:p w:rsidR="001076B3" w:rsidRDefault="00E2623C">
            <w:pPr>
              <w:spacing w:after="0" w:line="240" w:lineRule="auto"/>
              <w:jc w:val="right"/>
            </w:pPr>
            <w:r>
              <w:rPr>
                <w:rFonts w:ascii="Calibri" w:hAnsi="Calibri" w:cs="Calibri"/>
                <w:sz w:val="18"/>
              </w:rPr>
              <w:t>79,4</w:t>
            </w:r>
          </w:p>
        </w:tc>
      </w:tr>
    </w:tbl>
    <w:p w:rsidR="001076B3" w:rsidRDefault="001076B3">
      <w:pPr>
        <w:spacing w:after="0" w:line="240" w:lineRule="auto"/>
      </w:pPr>
    </w:p>
    <w:p w:rsidR="001076B3" w:rsidRDefault="00E2623C">
      <w:pPr>
        <w:spacing w:line="240" w:lineRule="auto"/>
        <w:jc w:val="both"/>
      </w:pPr>
      <w:r>
        <w:rPr>
          <w:rFonts w:ascii="Calibri" w:hAnsi="Calibri" w:cs="Calibri"/>
        </w:rPr>
        <w:t>Rashode za administraciju i upravljanje čine rashodi za zaposlene, materijalni rashodi i financijski rashodi, a koji su nužni za redovno poslovanje Agencije.</w:t>
      </w:r>
    </w:p>
    <w:p w:rsidR="001076B3" w:rsidRDefault="00E2623C">
      <w:pPr>
        <w:spacing w:line="240" w:lineRule="auto"/>
        <w:jc w:val="both"/>
      </w:pPr>
      <w:r>
        <w:rPr>
          <w:rFonts w:ascii="Calibri" w:hAnsi="Calibri" w:cs="Calibri"/>
        </w:rPr>
        <w:t>U 2026. godini planirani su rashodi za administraciju i upravljanje u iznosu od 1.395.575 EUR, za 2027. godinu planirani su u iznosu od 1.422.651 EUR, dok su za 2028. godinu planirani u iznosu od 1.446.425 EUR.</w:t>
      </w:r>
    </w:p>
    <w:p w:rsidR="001076B3" w:rsidRDefault="00E2623C">
      <w:pPr>
        <w:spacing w:line="240" w:lineRule="auto"/>
        <w:jc w:val="both"/>
      </w:pPr>
      <w:r>
        <w:rPr>
          <w:rFonts w:ascii="Calibri" w:hAnsi="Calibri" w:cs="Calibri"/>
        </w:rPr>
        <w:t xml:space="preserve">Rashodi za zaposlene odnose se na bruto plaće, ostale rashode za zaposlene i doprinose na plaće. Za 2026. godinu rashodi za zaposlene planirani su u </w:t>
      </w:r>
      <w:r w:rsidR="00C157A8">
        <w:rPr>
          <w:rFonts w:ascii="Calibri" w:hAnsi="Calibri" w:cs="Calibri"/>
        </w:rPr>
        <w:t>iznosu od 900.000 EUR, </w:t>
      </w:r>
      <w:r>
        <w:rPr>
          <w:rFonts w:ascii="Calibri" w:hAnsi="Calibri" w:cs="Calibri"/>
        </w:rPr>
        <w:t>za 2027. godinu planirani su u iznosu od 919.709 EUR, dok su za 2028. godinu planirani u iznosu od 938.103 EUR. </w:t>
      </w:r>
    </w:p>
    <w:p w:rsidR="001076B3" w:rsidRDefault="00E2623C">
      <w:pPr>
        <w:spacing w:line="240" w:lineRule="auto"/>
        <w:jc w:val="both"/>
      </w:pPr>
      <w:r>
        <w:rPr>
          <w:rFonts w:ascii="Calibri" w:hAnsi="Calibri" w:cs="Calibri"/>
        </w:rPr>
        <w:t>Materijalni rashodi za 2026. godinu planirani su u iznosu od 473.575 EUR, za 2027. godinu planirani su u iznosu od 480.942 EUR, dok su za 2028. godinu planirani u iznosu od 486.322 EUR. </w:t>
      </w:r>
    </w:p>
    <w:p w:rsidR="001076B3" w:rsidRDefault="00E2623C">
      <w:pPr>
        <w:spacing w:line="240" w:lineRule="auto"/>
        <w:jc w:val="both"/>
      </w:pPr>
      <w:r>
        <w:rPr>
          <w:rFonts w:ascii="Calibri" w:hAnsi="Calibri" w:cs="Calibri"/>
        </w:rPr>
        <w:t>Financijski rashodi za 2026. godinu planirani su u iznosu od 22.000 EUR, a u istom iznosu planirani su i za 2027. i 2028. godinu.</w:t>
      </w:r>
    </w:p>
    <w:p w:rsidR="001076B3" w:rsidRDefault="00E2623C">
      <w:pPr>
        <w:spacing w:line="240" w:lineRule="auto"/>
        <w:jc w:val="both"/>
      </w:pPr>
      <w:r>
        <w:rPr>
          <w:rFonts w:ascii="Calibri" w:hAnsi="Calibri" w:cs="Calibri"/>
        </w:rPr>
        <w:t>Ova aktivnost financira se iz vlastitih sredstava.</w:t>
      </w:r>
    </w:p>
    <w:p w:rsidR="001076B3" w:rsidRDefault="00E2623C">
      <w:pPr>
        <w:spacing w:line="240" w:lineRule="auto"/>
      </w:pPr>
      <w:r>
        <w:rPr>
          <w:rFonts w:ascii="Calibri" w:hAnsi="Calibri" w:cs="Calibri"/>
          <w:b/>
        </w:rPr>
        <w:br/>
        <w:t xml:space="preserve">K400000 OPREMANJE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K400000</w:t>
            </w:r>
          </w:p>
        </w:tc>
        <w:tc>
          <w:tcPr>
            <w:tcW w:w="690" w:type="pct"/>
            <w:vAlign w:val="bottom"/>
          </w:tcPr>
          <w:p w:rsidR="001076B3" w:rsidRDefault="00E2623C">
            <w:pPr>
              <w:spacing w:after="0" w:line="240" w:lineRule="auto"/>
              <w:jc w:val="right"/>
            </w:pPr>
            <w:r>
              <w:rPr>
                <w:rFonts w:ascii="Calibri" w:hAnsi="Calibri" w:cs="Calibri"/>
                <w:sz w:val="18"/>
              </w:rPr>
              <w:t>7.355</w:t>
            </w:r>
          </w:p>
        </w:tc>
        <w:tc>
          <w:tcPr>
            <w:tcW w:w="690" w:type="pct"/>
            <w:vAlign w:val="bottom"/>
          </w:tcPr>
          <w:p w:rsidR="001076B3" w:rsidRDefault="00E2623C">
            <w:pPr>
              <w:spacing w:after="0" w:line="240" w:lineRule="auto"/>
              <w:jc w:val="right"/>
            </w:pPr>
            <w:r>
              <w:rPr>
                <w:rFonts w:ascii="Calibri" w:hAnsi="Calibri" w:cs="Calibri"/>
                <w:sz w:val="18"/>
              </w:rPr>
              <w:t>13.780</w:t>
            </w:r>
          </w:p>
        </w:tc>
        <w:tc>
          <w:tcPr>
            <w:tcW w:w="690" w:type="pct"/>
            <w:vAlign w:val="bottom"/>
          </w:tcPr>
          <w:p w:rsidR="001076B3" w:rsidRDefault="00E2623C">
            <w:pPr>
              <w:spacing w:after="0" w:line="240" w:lineRule="auto"/>
              <w:jc w:val="right"/>
            </w:pPr>
            <w:r>
              <w:rPr>
                <w:rFonts w:ascii="Calibri" w:hAnsi="Calibri" w:cs="Calibri"/>
                <w:sz w:val="18"/>
              </w:rPr>
              <w:t>7.400</w:t>
            </w:r>
          </w:p>
        </w:tc>
        <w:tc>
          <w:tcPr>
            <w:tcW w:w="690" w:type="pct"/>
            <w:vAlign w:val="bottom"/>
          </w:tcPr>
          <w:p w:rsidR="001076B3" w:rsidRDefault="00E2623C">
            <w:pPr>
              <w:spacing w:after="0" w:line="240" w:lineRule="auto"/>
              <w:jc w:val="right"/>
            </w:pPr>
            <w:r>
              <w:rPr>
                <w:rFonts w:ascii="Calibri" w:hAnsi="Calibri" w:cs="Calibri"/>
                <w:sz w:val="18"/>
              </w:rPr>
              <w:t>10.000</w:t>
            </w:r>
          </w:p>
        </w:tc>
        <w:tc>
          <w:tcPr>
            <w:tcW w:w="690" w:type="pct"/>
            <w:vAlign w:val="bottom"/>
          </w:tcPr>
          <w:p w:rsidR="001076B3" w:rsidRDefault="00E2623C">
            <w:pPr>
              <w:spacing w:after="0" w:line="240" w:lineRule="auto"/>
              <w:jc w:val="right"/>
            </w:pPr>
            <w:r>
              <w:rPr>
                <w:rFonts w:ascii="Calibri" w:hAnsi="Calibri" w:cs="Calibri"/>
                <w:sz w:val="18"/>
              </w:rPr>
              <w:t>10.000</w:t>
            </w:r>
          </w:p>
        </w:tc>
        <w:tc>
          <w:tcPr>
            <w:tcW w:w="400" w:type="pct"/>
            <w:vAlign w:val="bottom"/>
          </w:tcPr>
          <w:p w:rsidR="001076B3" w:rsidRDefault="00E2623C">
            <w:pPr>
              <w:spacing w:after="0" w:line="240" w:lineRule="auto"/>
              <w:jc w:val="right"/>
            </w:pPr>
            <w:r>
              <w:rPr>
                <w:rFonts w:ascii="Calibri" w:hAnsi="Calibri" w:cs="Calibri"/>
                <w:sz w:val="18"/>
              </w:rPr>
              <w:t>53,7</w:t>
            </w:r>
          </w:p>
        </w:tc>
      </w:tr>
    </w:tbl>
    <w:p w:rsidR="001076B3" w:rsidRDefault="00E2623C">
      <w:pPr>
        <w:spacing w:line="240" w:lineRule="auto"/>
        <w:jc w:val="both"/>
      </w:pPr>
      <w:r>
        <w:rPr>
          <w:rFonts w:ascii="Calibri" w:hAnsi="Calibri" w:cs="Calibri"/>
        </w:rPr>
        <w:lastRenderedPageBreak/>
        <w:t>Aktivnost se odnosi na rashode za nabavu proizvedene dugotrajne imovine, odnosno postrojenja i opreme koju čine uredska oprema i namještaj, komunikacijska oprema i oprema za održavanje i zaštitu, sve sa ciljem obavljanja redovne djelatnosti Agencije. U 2026. godini planirana je realizacija u iznosu 7.400 EUR, a za 2027. i 2028. godinu planirana je u istom iznosu od 10.000 EUR. </w:t>
      </w:r>
    </w:p>
    <w:p w:rsidR="001076B3" w:rsidRDefault="00E2623C">
      <w:pPr>
        <w:spacing w:line="240" w:lineRule="auto"/>
        <w:jc w:val="both"/>
      </w:pPr>
      <w:r>
        <w:rPr>
          <w:rFonts w:ascii="Calibri" w:hAnsi="Calibri" w:cs="Calibri"/>
        </w:rPr>
        <w:t>Ovaj projekt financira se  iz vlastitih sredstava.</w:t>
      </w:r>
    </w:p>
    <w:p w:rsidR="001076B3" w:rsidRDefault="00E2623C">
      <w:pPr>
        <w:spacing w:line="240" w:lineRule="auto"/>
      </w:pPr>
      <w:r>
        <w:rPr>
          <w:rFonts w:ascii="Calibri" w:hAnsi="Calibri" w:cs="Calibri"/>
          <w:b/>
        </w:rPr>
        <w:br/>
        <w:t>K400001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1076B3">
        <w:tc>
          <w:tcPr>
            <w:tcW w:w="980" w:type="pct"/>
            <w:shd w:val="clear" w:color="auto" w:fill="BCDFFB"/>
            <w:vAlign w:val="center"/>
          </w:tcPr>
          <w:p w:rsidR="001076B3" w:rsidRDefault="001076B3">
            <w:pPr>
              <w:spacing w:after="0" w:line="240" w:lineRule="auto"/>
              <w:jc w:val="center"/>
            </w:pP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1076B3" w:rsidRDefault="00E2623C">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1076B3" w:rsidRDefault="00E2623C">
            <w:pPr>
              <w:spacing w:after="0" w:line="240" w:lineRule="auto"/>
              <w:jc w:val="center"/>
            </w:pPr>
            <w:r>
              <w:rPr>
                <w:rFonts w:ascii="Calibri" w:hAnsi="Calibri" w:cs="Calibri"/>
                <w:b/>
                <w:sz w:val="18"/>
              </w:rPr>
              <w:t>Indeks</w:t>
            </w:r>
            <w:r>
              <w:rPr>
                <w:rFonts w:ascii="Calibri" w:hAnsi="Calibri" w:cs="Calibri"/>
                <w:b/>
                <w:sz w:val="18"/>
              </w:rPr>
              <w:br/>
              <w:t>2026./2025.</w:t>
            </w:r>
          </w:p>
        </w:tc>
      </w:tr>
      <w:tr w:rsidR="001076B3">
        <w:tc>
          <w:tcPr>
            <w:tcW w:w="980" w:type="pct"/>
            <w:vAlign w:val="center"/>
          </w:tcPr>
          <w:p w:rsidR="001076B3" w:rsidRDefault="00E2623C">
            <w:pPr>
              <w:spacing w:after="0" w:line="240" w:lineRule="auto"/>
            </w:pPr>
            <w:r>
              <w:rPr>
                <w:rFonts w:ascii="Calibri" w:hAnsi="Calibri" w:cs="Calibri"/>
                <w:sz w:val="18"/>
              </w:rPr>
              <w:t>K400001</w:t>
            </w:r>
          </w:p>
        </w:tc>
        <w:tc>
          <w:tcPr>
            <w:tcW w:w="690" w:type="pct"/>
            <w:vAlign w:val="bottom"/>
          </w:tcPr>
          <w:p w:rsidR="001076B3" w:rsidRDefault="00E2623C">
            <w:pPr>
              <w:spacing w:after="0" w:line="240" w:lineRule="auto"/>
              <w:jc w:val="right"/>
            </w:pPr>
            <w:r>
              <w:rPr>
                <w:rFonts w:ascii="Calibri" w:hAnsi="Calibri" w:cs="Calibri"/>
                <w:sz w:val="18"/>
              </w:rPr>
              <w:t>68.750</w:t>
            </w:r>
          </w:p>
        </w:tc>
        <w:tc>
          <w:tcPr>
            <w:tcW w:w="690" w:type="pct"/>
            <w:vAlign w:val="bottom"/>
          </w:tcPr>
          <w:p w:rsidR="001076B3" w:rsidRDefault="00E2623C">
            <w:pPr>
              <w:spacing w:after="0" w:line="240" w:lineRule="auto"/>
              <w:jc w:val="right"/>
            </w:pPr>
            <w:r>
              <w:rPr>
                <w:rFonts w:ascii="Calibri" w:hAnsi="Calibri" w:cs="Calibri"/>
                <w:sz w:val="18"/>
              </w:rPr>
              <w:t>13.140</w:t>
            </w:r>
          </w:p>
        </w:tc>
        <w:tc>
          <w:tcPr>
            <w:tcW w:w="690" w:type="pct"/>
            <w:vAlign w:val="bottom"/>
          </w:tcPr>
          <w:p w:rsidR="001076B3" w:rsidRDefault="00E2623C">
            <w:pPr>
              <w:spacing w:after="0" w:line="240" w:lineRule="auto"/>
              <w:jc w:val="right"/>
            </w:pPr>
            <w:r>
              <w:rPr>
                <w:rFonts w:ascii="Calibri" w:hAnsi="Calibri" w:cs="Calibri"/>
                <w:sz w:val="18"/>
              </w:rPr>
              <w:t>10.000</w:t>
            </w:r>
          </w:p>
        </w:tc>
        <w:tc>
          <w:tcPr>
            <w:tcW w:w="690" w:type="pct"/>
            <w:vAlign w:val="bottom"/>
          </w:tcPr>
          <w:p w:rsidR="001076B3" w:rsidRDefault="00E2623C">
            <w:pPr>
              <w:spacing w:after="0" w:line="240" w:lineRule="auto"/>
              <w:jc w:val="right"/>
            </w:pPr>
            <w:r>
              <w:rPr>
                <w:rFonts w:ascii="Calibri" w:hAnsi="Calibri" w:cs="Calibri"/>
                <w:sz w:val="18"/>
              </w:rPr>
              <w:t>10.000</w:t>
            </w:r>
          </w:p>
        </w:tc>
        <w:tc>
          <w:tcPr>
            <w:tcW w:w="690" w:type="pct"/>
            <w:vAlign w:val="bottom"/>
          </w:tcPr>
          <w:p w:rsidR="001076B3" w:rsidRDefault="00E2623C">
            <w:pPr>
              <w:spacing w:after="0" w:line="240" w:lineRule="auto"/>
              <w:jc w:val="right"/>
            </w:pPr>
            <w:r>
              <w:rPr>
                <w:rFonts w:ascii="Calibri" w:hAnsi="Calibri" w:cs="Calibri"/>
                <w:sz w:val="18"/>
              </w:rPr>
              <w:t>10.000</w:t>
            </w:r>
          </w:p>
        </w:tc>
        <w:tc>
          <w:tcPr>
            <w:tcW w:w="400" w:type="pct"/>
            <w:vAlign w:val="bottom"/>
          </w:tcPr>
          <w:p w:rsidR="001076B3" w:rsidRDefault="00E2623C">
            <w:pPr>
              <w:spacing w:after="0" w:line="240" w:lineRule="auto"/>
              <w:jc w:val="right"/>
            </w:pPr>
            <w:r>
              <w:rPr>
                <w:rFonts w:ascii="Calibri" w:hAnsi="Calibri" w:cs="Calibri"/>
                <w:sz w:val="18"/>
              </w:rPr>
              <w:t>76,1</w:t>
            </w:r>
          </w:p>
        </w:tc>
      </w:tr>
    </w:tbl>
    <w:p w:rsidR="001076B3" w:rsidRDefault="001076B3">
      <w:pPr>
        <w:spacing w:after="0" w:line="240" w:lineRule="auto"/>
      </w:pPr>
    </w:p>
    <w:p w:rsidR="001076B3" w:rsidRDefault="00E2623C">
      <w:pPr>
        <w:spacing w:line="240" w:lineRule="auto"/>
        <w:jc w:val="both"/>
      </w:pPr>
      <w:r>
        <w:rPr>
          <w:rFonts w:ascii="Calibri" w:hAnsi="Calibri" w:cs="Calibri"/>
        </w:rPr>
        <w:t>Aktivnost se odnosi na rashode za nabavu neproizvedene dugotrajne imovine, odnosno ne materij</w:t>
      </w:r>
      <w:r w:rsidR="00C157A8">
        <w:rPr>
          <w:rFonts w:ascii="Calibri" w:hAnsi="Calibri" w:cs="Calibri"/>
        </w:rPr>
        <w:t>alne imovine koju čine licence </w:t>
      </w:r>
      <w:r>
        <w:rPr>
          <w:rFonts w:ascii="Calibri" w:hAnsi="Calibri" w:cs="Calibri"/>
        </w:rPr>
        <w:t>i ulaganja u računalne programe, a sve sa ciljem obavljanja redovne djelatnosti Agencije.</w:t>
      </w:r>
    </w:p>
    <w:p w:rsidR="001076B3" w:rsidRDefault="00E2623C">
      <w:pPr>
        <w:spacing w:line="240" w:lineRule="auto"/>
        <w:jc w:val="both"/>
      </w:pPr>
      <w:r>
        <w:rPr>
          <w:rFonts w:ascii="Calibri" w:hAnsi="Calibri" w:cs="Calibri"/>
        </w:rPr>
        <w:t>U 2026. godini planirana je realizacija u iznosu 10.000 EUR, a u istom iznosu planirani su i za 2027. i 2028. godinu. </w:t>
      </w:r>
    </w:p>
    <w:p w:rsidR="001076B3" w:rsidRDefault="00E2623C">
      <w:pPr>
        <w:spacing w:line="240" w:lineRule="auto"/>
        <w:jc w:val="both"/>
      </w:pPr>
      <w:r>
        <w:rPr>
          <w:rFonts w:ascii="Calibri" w:hAnsi="Calibri" w:cs="Calibri"/>
        </w:rPr>
        <w:t>Ovaj projekt financira se  iz vlastitih sredstava.</w:t>
      </w:r>
    </w:p>
    <w:sectPr w:rsidR="001076B3">
      <w:footerReference w:type="default" r:id="rId6"/>
      <w:footerReference w:type="firs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664" w:rsidRDefault="007D5664">
      <w:pPr>
        <w:spacing w:after="0" w:line="240" w:lineRule="auto"/>
      </w:pPr>
      <w:r>
        <w:separator/>
      </w:r>
    </w:p>
  </w:endnote>
  <w:endnote w:type="continuationSeparator" w:id="0">
    <w:p w:rsidR="007D5664" w:rsidRDefault="007D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6B3" w:rsidRDefault="00E2623C">
    <w:pPr>
      <w:jc w:val="right"/>
    </w:pPr>
    <w:r>
      <w:fldChar w:fldCharType="begin"/>
    </w:r>
    <w:r>
      <w:instrText>Page</w:instrText>
    </w:r>
    <w:r>
      <w:fldChar w:fldCharType="separate"/>
    </w:r>
    <w:r w:rsidR="00F730A8">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EC5" w:rsidRDefault="00E2623C">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664" w:rsidRDefault="007D5664">
      <w:pPr>
        <w:spacing w:after="0" w:line="240" w:lineRule="auto"/>
      </w:pPr>
      <w:r>
        <w:separator/>
      </w:r>
    </w:p>
  </w:footnote>
  <w:footnote w:type="continuationSeparator" w:id="0">
    <w:p w:rsidR="007D5664" w:rsidRDefault="007D56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076B3"/>
    <w:rsid w:val="0004783F"/>
    <w:rsid w:val="001076B3"/>
    <w:rsid w:val="0043305F"/>
    <w:rsid w:val="007D5664"/>
    <w:rsid w:val="00821A3D"/>
    <w:rsid w:val="00BE7A21"/>
    <w:rsid w:val="00C157A8"/>
    <w:rsid w:val="00CA6E51"/>
    <w:rsid w:val="00DA1EC5"/>
    <w:rsid w:val="00E06FF8"/>
    <w:rsid w:val="00E2623C"/>
    <w:rsid w:val="00E94A5C"/>
    <w:rsid w:val="00ED04CC"/>
    <w:rsid w:val="00F730A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D0D633-BCA2-4A30-915E-BD67EFBE1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1689</Words>
  <Characters>9633</Characters>
  <Application>Microsoft Office Word</Application>
  <DocSecurity>0</DocSecurity>
  <Lines>80</Lines>
  <Paragraphs>22</Paragraphs>
  <ScaleCrop>false</ScaleCrop>
  <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Jure Biloglav</cp:lastModifiedBy>
  <cp:revision>11</cp:revision>
  <dcterms:created xsi:type="dcterms:W3CDTF">2025-11-10T09:16:00Z</dcterms:created>
  <dcterms:modified xsi:type="dcterms:W3CDTF">2025-11-12T16:39:00Z</dcterms:modified>
</cp:coreProperties>
</file>